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pPr w:leftFromText="141" w:rightFromText="141" w:horzAnchor="margin" w:tblpX="-1134" w:tblpY="-660"/>
        <w:tblW w:w="58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47"/>
        <w:gridCol w:w="318"/>
        <w:gridCol w:w="7052"/>
        <w:gridCol w:w="331"/>
        <w:gridCol w:w="870"/>
        <w:gridCol w:w="405"/>
      </w:tblGrid>
      <w:tr w:rsidR="00182901" w:rsidTr="00182901">
        <w:trPr>
          <w:gridAfter w:val="1"/>
          <w:wAfter w:w="187" w:type="pct"/>
          <w:trHeight w:hRule="exact" w:val="2154"/>
        </w:trPr>
        <w:tc>
          <w:tcPr>
            <w:tcW w:w="853" w:type="pct"/>
          </w:tcPr>
          <w:p w:rsidR="00182901" w:rsidRDefault="00182901" w:rsidP="00CC1A73">
            <w:bookmarkStart w:id="0" w:name="_GoBack"/>
            <w:bookmarkEnd w:id="0"/>
          </w:p>
        </w:tc>
        <w:tc>
          <w:tcPr>
            <w:tcW w:w="3558" w:type="pct"/>
            <w:gridSpan w:val="3"/>
            <w:vMerge w:val="restart"/>
            <w:vAlign w:val="bottom"/>
          </w:tcPr>
          <w:p w:rsidR="00182901" w:rsidRPr="00CC1A73" w:rsidRDefault="00030A25" w:rsidP="00182901">
            <w:pPr>
              <w:pStyle w:val="STATTitreGraph"/>
              <w:ind w:left="-713" w:right="-942"/>
              <w:jc w:val="center"/>
              <w:rPr>
                <w:color w:val="000000" w:themeColor="text1"/>
              </w:rPr>
            </w:pPr>
            <w:r>
              <w:rPr>
                <w:rFonts w:ascii="Arial Black" w:hAnsi="Arial Black" w:cs="Times New Roman"/>
                <w:b w:val="0"/>
                <w:bCs w:val="0"/>
                <w:iCs/>
                <w:color w:val="000000" w:themeColor="text1"/>
                <w:w w:val="100"/>
                <w:sz w:val="28"/>
                <w:szCs w:val="28"/>
              </w:rPr>
              <w:t>R</w:t>
            </w:r>
            <w:r w:rsidRPr="00030A25">
              <w:rPr>
                <w:rFonts w:ascii="Arial Black" w:hAnsi="Arial Black" w:cs="Times New Roman"/>
                <w:b w:val="0"/>
                <w:bCs w:val="0"/>
                <w:iCs/>
                <w:color w:val="000000" w:themeColor="text1"/>
                <w:w w:val="100"/>
                <w:sz w:val="28"/>
                <w:szCs w:val="28"/>
              </w:rPr>
              <w:t>étropolation des comptes nationaux financiers</w:t>
            </w:r>
          </w:p>
        </w:tc>
        <w:tc>
          <w:tcPr>
            <w:tcW w:w="402" w:type="pct"/>
          </w:tcPr>
          <w:p w:rsidR="00182901" w:rsidRDefault="00182901" w:rsidP="00182901">
            <w:pPr>
              <w:jc w:val="center"/>
            </w:pPr>
          </w:p>
        </w:tc>
      </w:tr>
      <w:tr w:rsidR="00182901" w:rsidTr="00182901">
        <w:trPr>
          <w:trHeight w:val="57"/>
        </w:trPr>
        <w:tc>
          <w:tcPr>
            <w:tcW w:w="853" w:type="pct"/>
          </w:tcPr>
          <w:p w:rsidR="00182901" w:rsidRDefault="00182901" w:rsidP="00CC1A73">
            <w:pPr>
              <w:tabs>
                <w:tab w:val="left" w:pos="638"/>
              </w:tabs>
            </w:pPr>
          </w:p>
        </w:tc>
        <w:tc>
          <w:tcPr>
            <w:tcW w:w="3558" w:type="pct"/>
            <w:gridSpan w:val="3"/>
            <w:vMerge/>
            <w:vAlign w:val="center"/>
          </w:tcPr>
          <w:p w:rsidR="00182901" w:rsidRPr="00D846B1" w:rsidRDefault="00182901" w:rsidP="00182901">
            <w:pPr>
              <w:pStyle w:val="STATTitreGraph"/>
              <w:jc w:val="center"/>
            </w:pPr>
          </w:p>
        </w:tc>
        <w:tc>
          <w:tcPr>
            <w:tcW w:w="589" w:type="pct"/>
            <w:gridSpan w:val="2"/>
          </w:tcPr>
          <w:p w:rsidR="00182901" w:rsidRDefault="00182901" w:rsidP="00182901">
            <w:pPr>
              <w:jc w:val="center"/>
            </w:pPr>
          </w:p>
        </w:tc>
      </w:tr>
      <w:tr w:rsidR="00182901" w:rsidTr="00182901">
        <w:trPr>
          <w:trHeight w:val="57"/>
        </w:trPr>
        <w:tc>
          <w:tcPr>
            <w:tcW w:w="853" w:type="pct"/>
          </w:tcPr>
          <w:p w:rsidR="00182901" w:rsidRDefault="00182901" w:rsidP="00CC1A73">
            <w:pPr>
              <w:tabs>
                <w:tab w:val="left" w:pos="638"/>
              </w:tabs>
            </w:pPr>
          </w:p>
        </w:tc>
        <w:tc>
          <w:tcPr>
            <w:tcW w:w="3558" w:type="pct"/>
            <w:gridSpan w:val="3"/>
            <w:vMerge/>
            <w:tcBorders>
              <w:bottom w:val="single" w:sz="6" w:space="0" w:color="2864AA"/>
            </w:tcBorders>
            <w:vAlign w:val="center"/>
          </w:tcPr>
          <w:p w:rsidR="00182901" w:rsidRPr="00D846B1" w:rsidRDefault="00182901" w:rsidP="00CC1A73">
            <w:pPr>
              <w:pStyle w:val="STATTitreGraph"/>
            </w:pPr>
          </w:p>
        </w:tc>
        <w:tc>
          <w:tcPr>
            <w:tcW w:w="589" w:type="pct"/>
            <w:gridSpan w:val="2"/>
          </w:tcPr>
          <w:p w:rsidR="00182901" w:rsidRDefault="00182901" w:rsidP="00CC1A73"/>
        </w:tc>
      </w:tr>
      <w:tr w:rsidR="0080756A" w:rsidTr="00CC1A73">
        <w:trPr>
          <w:trHeight w:val="328"/>
        </w:trPr>
        <w:tc>
          <w:tcPr>
            <w:tcW w:w="853" w:type="pct"/>
          </w:tcPr>
          <w:p w:rsidR="0080756A" w:rsidRDefault="0080756A" w:rsidP="00CC1A73">
            <w:pPr>
              <w:tabs>
                <w:tab w:val="left" w:pos="638"/>
              </w:tabs>
            </w:pPr>
          </w:p>
        </w:tc>
        <w:tc>
          <w:tcPr>
            <w:tcW w:w="147" w:type="pct"/>
            <w:tcBorders>
              <w:top w:val="single" w:sz="6" w:space="0" w:color="2864AA"/>
            </w:tcBorders>
            <w:vAlign w:val="center"/>
          </w:tcPr>
          <w:p w:rsidR="0080756A" w:rsidRPr="00D846B1" w:rsidRDefault="0080756A" w:rsidP="00CC1A73">
            <w:pPr>
              <w:pStyle w:val="STATTitreGraph"/>
            </w:pPr>
          </w:p>
        </w:tc>
        <w:tc>
          <w:tcPr>
            <w:tcW w:w="3258" w:type="pct"/>
            <w:tcBorders>
              <w:top w:val="single" w:sz="6" w:space="0" w:color="2864AA"/>
            </w:tcBorders>
            <w:vAlign w:val="center"/>
          </w:tcPr>
          <w:p w:rsidR="0080756A" w:rsidRDefault="0080756A" w:rsidP="00CC1A73">
            <w:pPr>
              <w:pStyle w:val="STATDate"/>
            </w:pPr>
          </w:p>
        </w:tc>
        <w:tc>
          <w:tcPr>
            <w:tcW w:w="153" w:type="pct"/>
            <w:tcBorders>
              <w:top w:val="single" w:sz="6" w:space="0" w:color="2864AA"/>
            </w:tcBorders>
          </w:tcPr>
          <w:p w:rsidR="0080756A" w:rsidRDefault="0080756A" w:rsidP="00CC1A73"/>
        </w:tc>
        <w:tc>
          <w:tcPr>
            <w:tcW w:w="589" w:type="pct"/>
            <w:gridSpan w:val="2"/>
          </w:tcPr>
          <w:p w:rsidR="0080756A" w:rsidRDefault="0080756A" w:rsidP="00CC1A73"/>
        </w:tc>
      </w:tr>
    </w:tbl>
    <w:p w:rsidR="00CE3E76" w:rsidRPr="00CE3E76" w:rsidRDefault="00182901" w:rsidP="00CE3E76">
      <w:pPr>
        <w:pStyle w:val="Titre2"/>
        <w:numPr>
          <w:ilvl w:val="0"/>
          <w:numId w:val="34"/>
        </w:numPr>
        <w:spacing w:after="120"/>
        <w:ind w:left="284" w:hanging="284"/>
        <w:rPr>
          <w:b/>
          <w:bCs/>
          <w:color w:val="4F81BD" w:themeColor="accent1"/>
          <w:sz w:val="26"/>
          <w:szCs w:val="26"/>
        </w:rPr>
      </w:pPr>
      <w:r>
        <w:rPr>
          <w:noProof/>
        </w:rPr>
        <w:drawing>
          <wp:anchor distT="0" distB="0" distL="114300" distR="114300" simplePos="0" relativeHeight="251658240" behindDoc="1" locked="0" layoutInCell="1" allowOverlap="1" wp14:anchorId="07F95786" wp14:editId="039F7584">
            <wp:simplePos x="0" y="0"/>
            <wp:positionH relativeFrom="column">
              <wp:posOffset>-819730</wp:posOffset>
            </wp:positionH>
            <wp:positionV relativeFrom="paragraph">
              <wp:posOffset>-695987</wp:posOffset>
            </wp:positionV>
            <wp:extent cx="7591045" cy="2409245"/>
            <wp:effectExtent l="0" t="0" r="0" b="0"/>
            <wp:wrapNone/>
            <wp:docPr id="3" name="Image 2" descr="banniere_une_méthd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iere_une_méthdologie.jpg"/>
                    <pic:cNvPicPr/>
                  </pic:nvPicPr>
                  <pic:blipFill>
                    <a:blip r:embed="rId8" cstate="print"/>
                    <a:stretch>
                      <a:fillRect/>
                    </a:stretch>
                  </pic:blipFill>
                  <pic:spPr>
                    <a:xfrm>
                      <a:off x="0" y="0"/>
                      <a:ext cx="7591045" cy="2409245"/>
                    </a:xfrm>
                    <a:prstGeom prst="rect">
                      <a:avLst/>
                    </a:prstGeom>
                  </pic:spPr>
                </pic:pic>
              </a:graphicData>
            </a:graphic>
            <wp14:sizeRelH relativeFrom="margin">
              <wp14:pctWidth>0</wp14:pctWidth>
            </wp14:sizeRelH>
            <wp14:sizeRelV relativeFrom="margin">
              <wp14:pctHeight>0</wp14:pctHeight>
            </wp14:sizeRelV>
          </wp:anchor>
        </w:drawing>
      </w:r>
      <w:r w:rsidR="00030A25">
        <w:rPr>
          <w:b/>
          <w:bCs/>
          <w:color w:val="4F81BD" w:themeColor="accent1"/>
          <w:sz w:val="26"/>
          <w:szCs w:val="26"/>
        </w:rPr>
        <w:t>Le contexte</w:t>
      </w:r>
    </w:p>
    <w:p w:rsidR="00030A25" w:rsidRPr="00030A25" w:rsidRDefault="00030A25" w:rsidP="00030A25">
      <w:pPr>
        <w:jc w:val="both"/>
        <w:rPr>
          <w:rFonts w:ascii="Arial" w:hAnsi="Arial" w:cs="Arial"/>
          <w:shd w:val="clear" w:color="auto" w:fill="FFFFFF"/>
        </w:rPr>
      </w:pPr>
      <w:bookmarkStart w:id="1" w:name="_Ref528748185"/>
      <w:r w:rsidRPr="00030A25">
        <w:rPr>
          <w:rFonts w:ascii="Arial" w:hAnsi="Arial" w:cs="Arial"/>
          <w:bCs/>
        </w:rPr>
        <w:t xml:space="preserve">Les comptes nationaux français sont actuellement publiés à partir de 1995, et suivent des règles harmonisées au niveau européen (selon le Système Européen des Comptes 2010). Il y a eu dans le passé plusieurs évolutions méthodologiques ou modifications des principes d’enregistrement comptable qui font qu’il n’est pas toujours facile de présenter des statistiques cohérentes et à méthodologies constantes sur longue période. En particulier, </w:t>
      </w:r>
      <w:r w:rsidRPr="00030A25">
        <w:rPr>
          <w:rFonts w:ascii="Arial" w:hAnsi="Arial" w:cs="Arial"/>
          <w:shd w:val="clear" w:color="auto" w:fill="FFFFFF"/>
        </w:rPr>
        <w:t>en septembre 2014, le nouveau standard européen, le "</w:t>
      </w:r>
      <w:hyperlink r:id="rId9" w:history="1">
        <w:r w:rsidRPr="00030A25">
          <w:rPr>
            <w:rStyle w:val="Lienhypertexte"/>
            <w:rFonts w:ascii="Arial" w:hAnsi="Arial" w:cs="Arial"/>
            <w:shd w:val="clear" w:color="auto" w:fill="FFFFFF"/>
          </w:rPr>
          <w:t>Système européen des comptes nationaux et régionaux - SEC 2010</w:t>
        </w:r>
      </w:hyperlink>
      <w:r w:rsidRPr="00030A25">
        <w:rPr>
          <w:rFonts w:ascii="Arial" w:hAnsi="Arial" w:cs="Arial"/>
          <w:shd w:val="clear" w:color="auto" w:fill="FFFFFF"/>
        </w:rPr>
        <w:t>" est entré en vigueur pour le calcul des comptes nationaux et a ainsi succédé au SEC 1995 en tant que méthodologie de référence. S’il a repris les fondements et principes généraux de son prédécesseur, le SEC 2010 a permis d’introduire certains changements afin de mieux correspondre à l’évolution du fonctionnement de notre économie.</w:t>
      </w:r>
    </w:p>
    <w:p w:rsidR="00030A25" w:rsidRPr="00030A25" w:rsidRDefault="00030A25" w:rsidP="00030A25">
      <w:pPr>
        <w:pStyle w:val="NormalWeb"/>
        <w:spacing w:before="0" w:beforeAutospacing="0" w:after="0" w:afterAutospacing="0"/>
        <w:jc w:val="both"/>
        <w:rPr>
          <w:rFonts w:ascii="Arial" w:eastAsia="+mn-ea" w:hAnsi="Arial" w:cs="Arial"/>
          <w:kern w:val="24"/>
          <w:sz w:val="20"/>
          <w:szCs w:val="20"/>
        </w:rPr>
      </w:pPr>
      <w:r w:rsidRPr="00030A25">
        <w:rPr>
          <w:rFonts w:ascii="Arial" w:hAnsi="Arial" w:cs="Arial"/>
          <w:sz w:val="20"/>
          <w:szCs w:val="20"/>
          <w:shd w:val="clear" w:color="auto" w:fill="FFFFFF"/>
        </w:rPr>
        <w:t xml:space="preserve">Ce changement de base (ainsi que les précédents) a occasionné </w:t>
      </w:r>
      <w:r w:rsidRPr="00030A25">
        <w:rPr>
          <w:rFonts w:ascii="Arial" w:eastAsiaTheme="minorEastAsia" w:hAnsi="Arial" w:cs="Arial"/>
          <w:sz w:val="20"/>
          <w:szCs w:val="20"/>
          <w:shd w:val="clear" w:color="auto" w:fill="FFFFFF"/>
        </w:rPr>
        <w:t>de</w:t>
      </w:r>
      <w:r w:rsidRPr="00030A25">
        <w:rPr>
          <w:rFonts w:ascii="Arial" w:hAnsi="Arial" w:cs="Arial"/>
          <w:sz w:val="20"/>
          <w:szCs w:val="20"/>
          <w:shd w:val="clear" w:color="auto" w:fill="FFFFFF"/>
        </w:rPr>
        <w:t>s</w:t>
      </w:r>
      <w:r w:rsidRPr="00030A25">
        <w:rPr>
          <w:rFonts w:ascii="Arial" w:eastAsiaTheme="minorEastAsia" w:hAnsi="Arial" w:cs="Arial"/>
          <w:sz w:val="20"/>
          <w:szCs w:val="20"/>
          <w:shd w:val="clear" w:color="auto" w:fill="FFFFFF"/>
        </w:rPr>
        <w:t xml:space="preserve"> révisions souvent importantes liées, par exemple, à des modifications des principes d’enregistrement comptable, des reclassifications d’entités ou des changements d’opérations financières ou de secteurs institutionnels. Ces </w:t>
      </w:r>
      <w:r w:rsidRPr="00030A25">
        <w:rPr>
          <w:rFonts w:ascii="Arial" w:eastAsia="+mn-ea" w:hAnsi="Arial" w:cs="Arial"/>
          <w:kern w:val="24"/>
          <w:sz w:val="20"/>
          <w:szCs w:val="20"/>
        </w:rPr>
        <w:t xml:space="preserve">révisions engendrent des ruptures dans les séries chronologiques. </w:t>
      </w:r>
    </w:p>
    <w:p w:rsidR="00030A25" w:rsidRPr="00030A25" w:rsidRDefault="00030A25" w:rsidP="00030A25">
      <w:pPr>
        <w:jc w:val="both"/>
        <w:rPr>
          <w:rFonts w:ascii="Arial" w:hAnsi="Arial" w:cs="Arial"/>
          <w:bCs/>
        </w:rPr>
      </w:pPr>
      <w:r w:rsidRPr="00030A25">
        <w:rPr>
          <w:rFonts w:ascii="Arial" w:hAnsi="Arial" w:cs="Arial"/>
          <w:bCs/>
        </w:rPr>
        <w:t>Ainsi, si les comptes publiés actuellement (« en base 2014 » selon la terminologie des comptes nationaux) couvre la période de temps allant de 1995 à nos jours, il existe également des anciennes statistiques (dite en « base 2000 ») qui couvre la période entre 1977 et 2009 mais qui ne sont pas totalement cohérentes et comparables, ce qu’on peut constater ne serait-ce qu’en les comparant sur leur période commune entre 1995 et 2009.</w:t>
      </w:r>
    </w:p>
    <w:p w:rsidR="00030A25" w:rsidRPr="00030A25" w:rsidRDefault="00030A25" w:rsidP="00030A25">
      <w:pPr>
        <w:pStyle w:val="NormalWeb"/>
        <w:spacing w:before="0" w:beforeAutospacing="0" w:after="0" w:afterAutospacing="0"/>
        <w:jc w:val="both"/>
        <w:rPr>
          <w:rFonts w:ascii="Arial" w:hAnsi="Arial" w:cs="Arial"/>
          <w:sz w:val="20"/>
          <w:szCs w:val="20"/>
        </w:rPr>
      </w:pPr>
    </w:p>
    <w:p w:rsidR="00030A25" w:rsidRDefault="00030A25" w:rsidP="00030A25">
      <w:pPr>
        <w:jc w:val="both"/>
        <w:rPr>
          <w:rFonts w:cstheme="minorHAnsi"/>
          <w:bCs/>
        </w:rPr>
      </w:pPr>
      <w:r>
        <w:rPr>
          <w:noProof/>
        </w:rPr>
        <w:drawing>
          <wp:inline distT="0" distB="0" distL="0" distR="0" wp14:anchorId="4FEE8366" wp14:editId="0C33ADD5">
            <wp:extent cx="5760720" cy="86614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0"/>
                    <a:stretch>
                      <a:fillRect/>
                    </a:stretch>
                  </pic:blipFill>
                  <pic:spPr>
                    <a:xfrm>
                      <a:off x="0" y="0"/>
                      <a:ext cx="5760720" cy="866140"/>
                    </a:xfrm>
                    <a:prstGeom prst="rect">
                      <a:avLst/>
                    </a:prstGeom>
                  </pic:spPr>
                </pic:pic>
              </a:graphicData>
            </a:graphic>
          </wp:inline>
        </w:drawing>
      </w:r>
    </w:p>
    <w:p w:rsidR="00030A25" w:rsidRDefault="00030A25" w:rsidP="00030A25">
      <w:pPr>
        <w:pStyle w:val="Lgende"/>
        <w:rPr>
          <w:rFonts w:ascii="Arial" w:hAnsi="Arial" w:cs="Arial"/>
          <w:sz w:val="20"/>
        </w:rPr>
      </w:pPr>
      <w:r w:rsidRPr="00030A25">
        <w:rPr>
          <w:rFonts w:ascii="Arial" w:hAnsi="Arial" w:cs="Arial"/>
          <w:sz w:val="20"/>
        </w:rPr>
        <w:t xml:space="preserve">Figure </w:t>
      </w:r>
      <w:r w:rsidRPr="00030A25">
        <w:rPr>
          <w:rFonts w:ascii="Arial" w:hAnsi="Arial" w:cs="Arial"/>
          <w:sz w:val="20"/>
        </w:rPr>
        <w:fldChar w:fldCharType="begin"/>
      </w:r>
      <w:r w:rsidRPr="00030A25">
        <w:rPr>
          <w:rFonts w:ascii="Arial" w:hAnsi="Arial" w:cs="Arial"/>
          <w:sz w:val="20"/>
        </w:rPr>
        <w:instrText xml:space="preserve"> SEQ Figure \* ARABIC </w:instrText>
      </w:r>
      <w:r w:rsidRPr="00030A25">
        <w:rPr>
          <w:rFonts w:ascii="Arial" w:hAnsi="Arial" w:cs="Arial"/>
          <w:sz w:val="20"/>
        </w:rPr>
        <w:fldChar w:fldCharType="separate"/>
      </w:r>
      <w:r w:rsidRPr="00030A25">
        <w:rPr>
          <w:rFonts w:ascii="Arial" w:hAnsi="Arial" w:cs="Arial"/>
          <w:noProof/>
          <w:sz w:val="20"/>
        </w:rPr>
        <w:t>1</w:t>
      </w:r>
      <w:r w:rsidRPr="00030A25">
        <w:rPr>
          <w:rFonts w:ascii="Arial" w:hAnsi="Arial" w:cs="Arial"/>
          <w:noProof/>
          <w:sz w:val="20"/>
        </w:rPr>
        <w:fldChar w:fldCharType="end"/>
      </w:r>
      <w:r w:rsidRPr="00030A25">
        <w:rPr>
          <w:rFonts w:ascii="Arial" w:hAnsi="Arial" w:cs="Arial"/>
          <w:sz w:val="20"/>
        </w:rPr>
        <w:t> : Les périodes de temps couvertes par les différentes bases des comptes nationaux financiers</w:t>
      </w:r>
    </w:p>
    <w:p w:rsidR="00030A25" w:rsidRPr="00030A25" w:rsidRDefault="00030A25" w:rsidP="00030A25"/>
    <w:p w:rsidR="00030A25" w:rsidRPr="00030A25" w:rsidRDefault="00030A25" w:rsidP="00030A25">
      <w:pPr>
        <w:jc w:val="both"/>
        <w:rPr>
          <w:rFonts w:ascii="Arial" w:hAnsi="Arial" w:cs="Arial"/>
          <w:bCs/>
        </w:rPr>
      </w:pPr>
      <w:r w:rsidRPr="00030A25">
        <w:rPr>
          <w:rFonts w:ascii="Arial" w:eastAsia="+mn-ea" w:hAnsi="Arial" w:cs="Arial"/>
          <w:color w:val="000000"/>
          <w:kern w:val="24"/>
        </w:rPr>
        <w:t>L’objectif du travail de rétropolation a donc consisté à rendre à nouveau homogène les séries chronologiques sur longue période afin d’obtenir des séries statistiques de 1977 à nos jours. Le but du présent article est de détailler l</w:t>
      </w:r>
      <w:r w:rsidRPr="00030A25">
        <w:rPr>
          <w:rFonts w:ascii="Arial" w:hAnsi="Arial" w:cs="Arial"/>
          <w:bCs/>
        </w:rPr>
        <w:t>es principes et méthodes utilisés pour effectuer cette rétropolation. Les séries de comptes financiers rétropolées sur longue période, à savoir de 1977 jusqu’à nos jours, sont disponibles sur le portail statistique de la Banque de France</w:t>
      </w:r>
      <w:r w:rsidR="004D2006" w:rsidRPr="00030A25">
        <w:rPr>
          <w:rFonts w:ascii="Arial" w:hAnsi="Arial" w:cs="Arial"/>
          <w:vertAlign w:val="superscript"/>
        </w:rPr>
        <w:footnoteReference w:id="1"/>
      </w:r>
      <w:r w:rsidR="004D2006">
        <w:rPr>
          <w:rFonts w:ascii="Arial" w:hAnsi="Arial" w:cs="Arial"/>
          <w:bCs/>
        </w:rPr>
        <w:t>.</w:t>
      </w:r>
    </w:p>
    <w:bookmarkEnd w:id="1"/>
    <w:p w:rsidR="00CE3E76" w:rsidRDefault="00CE3E76" w:rsidP="00CE3E76">
      <w:pPr>
        <w:spacing w:after="60"/>
        <w:ind w:left="357"/>
        <w:jc w:val="both"/>
        <w:rPr>
          <w:sz w:val="22"/>
          <w:szCs w:val="22"/>
        </w:rPr>
      </w:pPr>
    </w:p>
    <w:p w:rsidR="00612F13" w:rsidRDefault="00612F13" w:rsidP="00CE3E76">
      <w:pPr>
        <w:spacing w:after="60"/>
        <w:ind w:left="357"/>
        <w:jc w:val="both"/>
        <w:rPr>
          <w:sz w:val="22"/>
          <w:szCs w:val="22"/>
        </w:rPr>
      </w:pPr>
    </w:p>
    <w:p w:rsidR="00612F13" w:rsidRPr="00CE3E76" w:rsidRDefault="00612F13" w:rsidP="00CE3E76">
      <w:pPr>
        <w:spacing w:after="60"/>
        <w:ind w:left="357"/>
        <w:jc w:val="both"/>
        <w:rPr>
          <w:sz w:val="22"/>
          <w:szCs w:val="22"/>
        </w:rPr>
      </w:pPr>
    </w:p>
    <w:p w:rsidR="00CE3E76" w:rsidRPr="00CE3E76" w:rsidRDefault="00030A25" w:rsidP="00CE3E76">
      <w:pPr>
        <w:keepNext/>
        <w:numPr>
          <w:ilvl w:val="0"/>
          <w:numId w:val="34"/>
        </w:numPr>
        <w:ind w:left="284" w:hanging="284"/>
        <w:outlineLvl w:val="1"/>
        <w:rPr>
          <w:rFonts w:ascii="Arial" w:hAnsi="Arial" w:cs="Arial"/>
          <w:b/>
          <w:bCs/>
          <w:color w:val="4F81BD" w:themeColor="accent1"/>
          <w:sz w:val="26"/>
          <w:szCs w:val="26"/>
        </w:rPr>
      </w:pPr>
      <w:r>
        <w:rPr>
          <w:rFonts w:ascii="Arial" w:hAnsi="Arial" w:cs="Arial"/>
          <w:b/>
          <w:bCs/>
          <w:color w:val="4F81BD" w:themeColor="accent1"/>
          <w:sz w:val="26"/>
          <w:szCs w:val="26"/>
        </w:rPr>
        <w:t>Le travail de jointure méthodologique</w:t>
      </w:r>
    </w:p>
    <w:p w:rsidR="00CE3E76" w:rsidRPr="00CE3E76" w:rsidRDefault="00CE3E76" w:rsidP="00CE3E76">
      <w:pPr>
        <w:spacing w:after="60"/>
        <w:ind w:left="357"/>
        <w:jc w:val="both"/>
        <w:rPr>
          <w:sz w:val="22"/>
          <w:szCs w:val="22"/>
        </w:rPr>
      </w:pPr>
    </w:p>
    <w:p w:rsidR="00030A25" w:rsidRPr="00030A25" w:rsidRDefault="00030A25" w:rsidP="00030A25">
      <w:pPr>
        <w:spacing w:after="60"/>
        <w:jc w:val="both"/>
        <w:rPr>
          <w:rFonts w:ascii="Arial" w:hAnsi="Arial" w:cs="Arial"/>
        </w:rPr>
      </w:pPr>
      <w:r w:rsidRPr="00030A25">
        <w:rPr>
          <w:rFonts w:ascii="Arial" w:hAnsi="Arial" w:cs="Arial"/>
        </w:rPr>
        <w:t>Le SEC 2010 a ainsi introduit certains changements de nomenclatures, tant en ce qui concerne les secteurs institutionnels qu’en ce qui concerne les instruments. Le format du code interne est également modifié.</w:t>
      </w:r>
    </w:p>
    <w:p w:rsidR="00030A25" w:rsidRPr="00030A25" w:rsidRDefault="00030A25" w:rsidP="00030A25">
      <w:pPr>
        <w:spacing w:after="60"/>
        <w:jc w:val="both"/>
        <w:rPr>
          <w:rFonts w:ascii="Arial" w:hAnsi="Arial" w:cs="Arial"/>
        </w:rPr>
      </w:pPr>
    </w:p>
    <w:p w:rsidR="00030A25" w:rsidRPr="00030A25" w:rsidRDefault="00030A25" w:rsidP="00030A25">
      <w:pPr>
        <w:spacing w:after="60"/>
        <w:jc w:val="both"/>
        <w:rPr>
          <w:rFonts w:ascii="Arial" w:hAnsi="Arial" w:cs="Arial"/>
        </w:rPr>
      </w:pPr>
      <w:r w:rsidRPr="00030A25">
        <w:rPr>
          <w:rFonts w:ascii="Arial" w:hAnsi="Arial" w:cs="Arial"/>
        </w:rPr>
        <w:lastRenderedPageBreak/>
        <w:t>Les séries annuelles en base 2000 sont disponibles sur le site internet de la Banque de France</w:t>
      </w:r>
      <w:r w:rsidRPr="00030A25">
        <w:rPr>
          <w:rFonts w:ascii="Arial" w:hAnsi="Arial" w:cs="Arial"/>
          <w:vertAlign w:val="superscript"/>
        </w:rPr>
        <w:footnoteReference w:id="2"/>
      </w:r>
      <w:r w:rsidRPr="00030A25">
        <w:rPr>
          <w:rFonts w:ascii="Arial" w:hAnsi="Arial" w:cs="Arial"/>
        </w:rPr>
        <w:t>. Il s’agit de 2876 séries couvrant la période de décembre 1977 à décembre 2009. Le détail est « toute contrepartie », c’est-à-dire qu’on dispose, pour chaque instrument, du passif et de l’actif d’un secteur (les ménages, les SNF…) mais qu’on ne dispose pas, contrairement à la base 2014, de séries en qui-à-qui (par exemple, les prêts des banques aux ménages).</w:t>
      </w:r>
    </w:p>
    <w:p w:rsidR="00030A25" w:rsidRPr="00030A25" w:rsidRDefault="00030A25" w:rsidP="00030A25">
      <w:pPr>
        <w:spacing w:after="60"/>
        <w:jc w:val="both"/>
        <w:rPr>
          <w:rFonts w:ascii="Arial" w:hAnsi="Arial" w:cs="Arial"/>
        </w:rPr>
      </w:pPr>
      <w:r w:rsidRPr="00030A25">
        <w:rPr>
          <w:rFonts w:ascii="Arial" w:hAnsi="Arial" w:cs="Arial"/>
        </w:rPr>
        <w:t>Le but de la rétropolation est de « raccrocher » ces séries en base 2000 aux séries en base 2014 qui sont, quant à elles, les séries actuellement diffusées sur tous les supports de diffusion statistiques usuels (Webstat, Stat Info, données partagées par les organismes internationaux…)</w:t>
      </w:r>
    </w:p>
    <w:p w:rsidR="00CE3E76" w:rsidRPr="00CE3E76" w:rsidRDefault="00CE3E76" w:rsidP="00F75E9A">
      <w:pPr>
        <w:spacing w:after="60"/>
        <w:jc w:val="both"/>
        <w:rPr>
          <w:rFonts w:ascii="Arial" w:hAnsi="Arial" w:cs="Arial"/>
        </w:rPr>
      </w:pPr>
      <w:r w:rsidRPr="00CE3E76">
        <w:rPr>
          <w:rFonts w:ascii="Arial" w:hAnsi="Arial" w:cs="Arial"/>
        </w:rPr>
        <w:t>On ne dispose pas en général d’observations directes pour les ménages, et, pour les sociétés non financières, elles sont le plus souvent tardives et peu détaillées. En conséquence, les comptes financiers de ces deux secteurs sont principalement établis à partir des informations déclarées par les autres secteurs.</w:t>
      </w:r>
    </w:p>
    <w:p w:rsidR="00CE3E76" w:rsidRPr="00CE3E76" w:rsidRDefault="00CE3E76" w:rsidP="00CE3E76">
      <w:pPr>
        <w:spacing w:after="60"/>
        <w:ind w:left="357"/>
        <w:jc w:val="both"/>
        <w:rPr>
          <w:rFonts w:ascii="Arial" w:hAnsi="Arial" w:cs="Arial"/>
        </w:rPr>
      </w:pPr>
    </w:p>
    <w:p w:rsidR="00CE3E76" w:rsidRPr="00CE3E76" w:rsidRDefault="00030A25" w:rsidP="00CE3E76">
      <w:pPr>
        <w:keepNext/>
        <w:spacing w:before="240" w:after="120"/>
        <w:ind w:left="567" w:hanging="567"/>
        <w:outlineLvl w:val="3"/>
        <w:rPr>
          <w:rFonts w:ascii="Arial" w:hAnsi="Arial" w:cs="Arial"/>
          <w:color w:val="4F81BD" w:themeColor="accent1"/>
          <w:sz w:val="22"/>
          <w:szCs w:val="22"/>
        </w:rPr>
      </w:pPr>
      <w:r>
        <w:rPr>
          <w:rFonts w:ascii="Arial" w:hAnsi="Arial" w:cs="Arial"/>
          <w:color w:val="4F81BD" w:themeColor="accent1"/>
          <w:sz w:val="22"/>
          <w:szCs w:val="22"/>
        </w:rPr>
        <w:t>2</w:t>
      </w:r>
      <w:r w:rsidR="00CE3E76" w:rsidRPr="00CE3E76">
        <w:rPr>
          <w:rFonts w:ascii="Arial" w:hAnsi="Arial" w:cs="Arial"/>
          <w:color w:val="4F81BD" w:themeColor="accent1"/>
          <w:sz w:val="22"/>
          <w:szCs w:val="22"/>
        </w:rPr>
        <w:t>.1.</w:t>
      </w:r>
      <w:r w:rsidR="00CE3E76" w:rsidRPr="00CE3E76">
        <w:rPr>
          <w:rFonts w:ascii="Arial" w:hAnsi="Arial" w:cs="Arial"/>
          <w:color w:val="4F81BD" w:themeColor="accent1"/>
          <w:sz w:val="22"/>
          <w:szCs w:val="22"/>
        </w:rPr>
        <w:tab/>
      </w:r>
      <w:r>
        <w:rPr>
          <w:rFonts w:ascii="Arial" w:hAnsi="Arial" w:cs="Arial"/>
          <w:color w:val="4F81BD" w:themeColor="accent1"/>
          <w:sz w:val="22"/>
          <w:szCs w:val="22"/>
        </w:rPr>
        <w:t>Transcodification</w:t>
      </w:r>
      <w:r w:rsidR="00CE3E76" w:rsidRPr="00CE3E76">
        <w:rPr>
          <w:rFonts w:ascii="Arial" w:hAnsi="Arial" w:cs="Arial"/>
          <w:color w:val="4F81BD" w:themeColor="accent1"/>
          <w:sz w:val="22"/>
          <w:szCs w:val="22"/>
        </w:rPr>
        <w:t xml:space="preserve"> </w:t>
      </w:r>
    </w:p>
    <w:p w:rsidR="00030A25" w:rsidRPr="00030A25" w:rsidRDefault="00030A25" w:rsidP="00030A25">
      <w:pPr>
        <w:pStyle w:val="Sansinterligne"/>
        <w:jc w:val="both"/>
        <w:rPr>
          <w:rFonts w:ascii="Arial" w:eastAsia="+mn-ea" w:hAnsi="Arial" w:cs="Arial"/>
          <w:kern w:val="24"/>
          <w:sz w:val="20"/>
          <w:szCs w:val="20"/>
          <w:lang w:eastAsia="fr-FR"/>
        </w:rPr>
      </w:pPr>
      <w:r w:rsidRPr="00030A25">
        <w:rPr>
          <w:rFonts w:ascii="Arial" w:eastAsia="+mn-ea" w:hAnsi="Arial" w:cs="Arial"/>
          <w:kern w:val="24"/>
          <w:sz w:val="20"/>
          <w:szCs w:val="20"/>
          <w:lang w:eastAsia="fr-FR"/>
        </w:rPr>
        <w:t>La première étape a été d’effectuer un travail de traduction entre l’ancienne codification des séries et celle actuellement utilisée. Fort heureusement et comme illustré dans le graphique ci-dessous, le processus est injectif au sens où on peut attribuer un nouveau code à toute ancienne série. Les nouvelles dimensions présentent dans le nouveau code ne sont pas alors utilisées pleinement (elles le sont dans le cadre des séries en qui-à-qui sont produites dans la base actuelle). Ces séries en qui-à-qui ne seront pas rétropolées faute de données pertinentes pour le faire (absence de données en ancienne base et de données robustes identifiées pour faire ne serait-ce que de bonnes approximations).</w:t>
      </w:r>
    </w:p>
    <w:p w:rsidR="00030A25" w:rsidRPr="00030A25" w:rsidRDefault="00030A25" w:rsidP="00030A25">
      <w:pPr>
        <w:pStyle w:val="Sansinterligne"/>
        <w:jc w:val="both"/>
        <w:rPr>
          <w:rFonts w:ascii="Arial" w:eastAsiaTheme="majorEastAsia" w:hAnsi="Arial" w:cs="Arial"/>
          <w:color w:val="365F91" w:themeColor="accent1" w:themeShade="BF"/>
          <w:sz w:val="20"/>
          <w:szCs w:val="20"/>
        </w:rPr>
      </w:pPr>
    </w:p>
    <w:p w:rsidR="00030A25" w:rsidRPr="00030A25" w:rsidRDefault="00F2683C" w:rsidP="00030A25">
      <w:pPr>
        <w:pStyle w:val="Sansinterligne"/>
        <w:jc w:val="both"/>
        <w:rPr>
          <w:rFonts w:ascii="Arial" w:eastAsiaTheme="majorEastAsia" w:hAnsi="Arial" w:cs="Arial"/>
          <w:color w:val="365F91" w:themeColor="accent1" w:themeShade="BF"/>
          <w:sz w:val="20"/>
          <w:szCs w:val="20"/>
        </w:rPr>
      </w:pPr>
      <w:r w:rsidRPr="00F2683C">
        <w:rPr>
          <w:rFonts w:ascii="Arial" w:eastAsiaTheme="majorEastAsia" w:hAnsi="Arial" w:cs="Arial"/>
          <w:noProof/>
          <w:color w:val="365F91" w:themeColor="accent1" w:themeShade="BF"/>
          <w:sz w:val="20"/>
          <w:szCs w:val="20"/>
          <w:lang w:eastAsia="fr-FR"/>
        </w:rPr>
        <w:drawing>
          <wp:inline distT="0" distB="0" distL="0" distR="0" wp14:anchorId="0800020A" wp14:editId="37B5AE83">
            <wp:extent cx="5904230" cy="2661920"/>
            <wp:effectExtent l="0" t="0" r="127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04230" cy="2661920"/>
                    </a:xfrm>
                    <a:prstGeom prst="rect">
                      <a:avLst/>
                    </a:prstGeom>
                  </pic:spPr>
                </pic:pic>
              </a:graphicData>
            </a:graphic>
          </wp:inline>
        </w:drawing>
      </w:r>
    </w:p>
    <w:p w:rsidR="00030A25" w:rsidRPr="00030A25" w:rsidRDefault="00030A25" w:rsidP="00030A25">
      <w:pPr>
        <w:pStyle w:val="Sansinterligne"/>
        <w:jc w:val="both"/>
        <w:rPr>
          <w:rFonts w:ascii="Arial" w:eastAsiaTheme="majorEastAsia" w:hAnsi="Arial" w:cs="Arial"/>
          <w:color w:val="365F91" w:themeColor="accent1" w:themeShade="BF"/>
          <w:sz w:val="20"/>
          <w:szCs w:val="20"/>
        </w:rPr>
      </w:pPr>
    </w:p>
    <w:p w:rsidR="00030A25" w:rsidRPr="00030A25" w:rsidRDefault="00030A25" w:rsidP="00030A25">
      <w:pPr>
        <w:rPr>
          <w:rFonts w:ascii="Arial" w:eastAsia="+mn-ea" w:hAnsi="Arial" w:cs="Arial"/>
          <w:color w:val="000000"/>
          <w:kern w:val="24"/>
        </w:rPr>
      </w:pPr>
      <w:r w:rsidRPr="00030A25">
        <w:rPr>
          <w:rFonts w:ascii="Arial" w:eastAsia="+mn-ea" w:hAnsi="Arial" w:cs="Arial"/>
          <w:color w:val="000000"/>
          <w:kern w:val="24"/>
        </w:rPr>
        <w:t>Exemple : A.122AE0.421200.98RET0 =&gt; A.W2.122000.4200.DV.W0.100000.E</w:t>
      </w:r>
    </w:p>
    <w:p w:rsidR="00030A25" w:rsidRPr="00273820" w:rsidRDefault="00030A25" w:rsidP="00030A25">
      <w:pPr>
        <w:rPr>
          <w:sz w:val="14"/>
          <w:szCs w:val="24"/>
        </w:rPr>
      </w:pPr>
    </w:p>
    <w:p w:rsidR="00CE3E76" w:rsidRPr="00CE3E76" w:rsidRDefault="00CE3E76" w:rsidP="00CE3E76">
      <w:pPr>
        <w:jc w:val="both"/>
        <w:rPr>
          <w:rFonts w:ascii="Arial" w:hAnsi="Arial" w:cs="Arial"/>
        </w:rPr>
      </w:pPr>
    </w:p>
    <w:p w:rsidR="00CE3E76" w:rsidRPr="00CE3E76" w:rsidRDefault="00030A25" w:rsidP="00CE3E76">
      <w:pPr>
        <w:keepNext/>
        <w:spacing w:before="240" w:after="120"/>
        <w:ind w:left="567" w:hanging="567"/>
        <w:outlineLvl w:val="3"/>
        <w:rPr>
          <w:rFonts w:ascii="Arial" w:hAnsi="Arial" w:cs="Arial"/>
          <w:color w:val="4F81BD" w:themeColor="accent1"/>
          <w:sz w:val="22"/>
          <w:szCs w:val="22"/>
        </w:rPr>
      </w:pPr>
      <w:r>
        <w:rPr>
          <w:rFonts w:ascii="Arial" w:hAnsi="Arial" w:cs="Arial"/>
          <w:color w:val="4F81BD" w:themeColor="accent1"/>
          <w:sz w:val="22"/>
          <w:szCs w:val="22"/>
        </w:rPr>
        <w:t>2</w:t>
      </w:r>
      <w:r w:rsidR="00CE3E76" w:rsidRPr="00CE3E76">
        <w:rPr>
          <w:rFonts w:ascii="Arial" w:hAnsi="Arial" w:cs="Arial"/>
          <w:color w:val="4F81BD" w:themeColor="accent1"/>
          <w:sz w:val="22"/>
          <w:szCs w:val="22"/>
        </w:rPr>
        <w:t>.2.</w:t>
      </w:r>
      <w:r w:rsidR="00CE3E76" w:rsidRPr="00CE3E76">
        <w:rPr>
          <w:rFonts w:ascii="Arial" w:hAnsi="Arial" w:cs="Arial"/>
          <w:color w:val="4F81BD" w:themeColor="accent1"/>
          <w:sz w:val="22"/>
          <w:szCs w:val="22"/>
        </w:rPr>
        <w:tab/>
      </w:r>
      <w:r w:rsidRPr="00030A25">
        <w:rPr>
          <w:rFonts w:ascii="Arial" w:hAnsi="Arial" w:cs="Arial"/>
          <w:color w:val="4F81BD" w:themeColor="accent1"/>
          <w:sz w:val="22"/>
          <w:szCs w:val="22"/>
        </w:rPr>
        <w:t>Évolutions des instruments financiers et des secteurs institutionnels entre le SEC 1995 et le SEC 2010</w:t>
      </w:r>
      <w:r w:rsidR="00CE3E76" w:rsidRPr="00CE3E76">
        <w:rPr>
          <w:rFonts w:ascii="Arial" w:hAnsi="Arial" w:cs="Arial"/>
          <w:color w:val="4F81BD" w:themeColor="accent1"/>
          <w:sz w:val="22"/>
          <w:szCs w:val="22"/>
        </w:rPr>
        <w:t xml:space="preserve"> </w:t>
      </w:r>
    </w:p>
    <w:p w:rsidR="00030A25" w:rsidRPr="00030A25" w:rsidRDefault="00030A25" w:rsidP="00030A25">
      <w:pPr>
        <w:spacing w:after="60"/>
        <w:jc w:val="both"/>
        <w:rPr>
          <w:rFonts w:ascii="Arial" w:hAnsi="Arial" w:cs="Arial"/>
        </w:rPr>
      </w:pPr>
      <w:r w:rsidRPr="00030A25">
        <w:rPr>
          <w:rFonts w:ascii="Arial" w:hAnsi="Arial" w:cs="Arial"/>
        </w:rPr>
        <w:t xml:space="preserve">Les tableaux suivants montrent les différences entre les instruments financiers et les secteurs institutionnels dans le SEC 1995 et le SEC 2010. </w:t>
      </w:r>
    </w:p>
    <w:p w:rsidR="00030A25" w:rsidRPr="00030A25" w:rsidRDefault="00030A25" w:rsidP="00030A25">
      <w:pPr>
        <w:spacing w:after="60"/>
        <w:jc w:val="both"/>
        <w:rPr>
          <w:rFonts w:ascii="Arial" w:hAnsi="Arial" w:cs="Arial"/>
        </w:rPr>
      </w:pPr>
      <w:r w:rsidRPr="00030A25">
        <w:rPr>
          <w:rFonts w:ascii="Arial" w:hAnsi="Arial" w:cs="Arial"/>
        </w:rPr>
        <w:t xml:space="preserve">Les principales évolutions sont sur la ventilation en instruments financiers. Ainsi, à titre de simplification plusieurs instruments présents dans le SEC 1995 disparaissent et sont regroupés au sein d’autres instruments comme les titres du marché interbancaire à long terme, les intérêts courus non échus sur titres de créance ou certaines sous-ventilations des crédits. A l’inverse, de nouveaux instruments font leur apparition avec le SEC 2010 avec par exemple la distinction qui s’opère entre « actions non cotées » et </w:t>
      </w:r>
      <w:r w:rsidRPr="00030A25">
        <w:rPr>
          <w:rFonts w:ascii="Arial" w:hAnsi="Arial" w:cs="Arial"/>
        </w:rPr>
        <w:lastRenderedPageBreak/>
        <w:t>« autres participations » ou la distinction entre les droits sur les réserves techniques assurance vie et ceux sur les fonds de pension (constitué par l’épargne retraite en attendant la création d’un secteur des fonds de pension S129 en France à l’occasion du prochain rebasage en 2024).</w:t>
      </w:r>
    </w:p>
    <w:p w:rsidR="00030A25" w:rsidRPr="00030A25" w:rsidRDefault="00030A25" w:rsidP="00030A25">
      <w:pPr>
        <w:spacing w:after="60"/>
        <w:jc w:val="both"/>
        <w:rPr>
          <w:rFonts w:ascii="Arial" w:hAnsi="Arial" w:cs="Arial"/>
        </w:rPr>
      </w:pPr>
      <w:r w:rsidRPr="00030A25">
        <w:rPr>
          <w:rFonts w:ascii="Arial" w:hAnsi="Arial" w:cs="Arial"/>
        </w:rPr>
        <w:t>En ce qui concerne les secteurs institutionnels, seul un nouveau secteur, les institutions financières captives et prêteurs non institutionnels, apparait dans le SEC 2010.</w:t>
      </w:r>
    </w:p>
    <w:p w:rsidR="00030A25" w:rsidRPr="00030A25" w:rsidRDefault="00030A25" w:rsidP="00030A25">
      <w:pPr>
        <w:spacing w:after="60"/>
        <w:ind w:left="357"/>
        <w:jc w:val="both"/>
        <w:rPr>
          <w:rFonts w:ascii="Arial" w:hAnsi="Arial" w:cs="Arial"/>
        </w:rPr>
      </w:pPr>
    </w:p>
    <w:p w:rsidR="00030A25" w:rsidRPr="00030A25" w:rsidRDefault="00030A25" w:rsidP="00030A25">
      <w:pPr>
        <w:spacing w:after="60"/>
        <w:ind w:left="357"/>
        <w:jc w:val="both"/>
        <w:rPr>
          <w:rFonts w:ascii="Arial" w:hAnsi="Arial" w:cs="Arial"/>
        </w:rPr>
      </w:pPr>
    </w:p>
    <w:p w:rsidR="00030A25" w:rsidRPr="00030A25" w:rsidRDefault="00030A25" w:rsidP="00030A25">
      <w:pPr>
        <w:spacing w:after="60"/>
        <w:ind w:left="357"/>
        <w:jc w:val="both"/>
        <w:rPr>
          <w:rFonts w:ascii="Arial" w:hAnsi="Arial" w:cs="Arial"/>
        </w:rPr>
      </w:pPr>
      <w:r w:rsidRPr="00030A25">
        <w:rPr>
          <w:rFonts w:ascii="Arial" w:hAnsi="Arial" w:cs="Arial"/>
          <w:noProof/>
        </w:rPr>
        <w:drawing>
          <wp:inline distT="0" distB="0" distL="0" distR="0" wp14:anchorId="761B8336" wp14:editId="18859A5E">
            <wp:extent cx="5873765" cy="32004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18038" cy="3224523"/>
                    </a:xfrm>
                    <a:prstGeom prst="rect">
                      <a:avLst/>
                    </a:prstGeom>
                  </pic:spPr>
                </pic:pic>
              </a:graphicData>
            </a:graphic>
          </wp:inline>
        </w:drawing>
      </w:r>
    </w:p>
    <w:p w:rsidR="00030A25" w:rsidRPr="00030A25" w:rsidRDefault="00030A25" w:rsidP="00030A25">
      <w:pPr>
        <w:spacing w:after="60"/>
        <w:ind w:left="357"/>
        <w:jc w:val="both"/>
        <w:rPr>
          <w:rFonts w:ascii="Arial" w:hAnsi="Arial" w:cs="Arial"/>
        </w:rPr>
      </w:pPr>
    </w:p>
    <w:p w:rsidR="00030A25" w:rsidRPr="00030A25" w:rsidRDefault="00030A25" w:rsidP="00030A25">
      <w:pPr>
        <w:spacing w:after="60"/>
        <w:ind w:left="357"/>
        <w:jc w:val="both"/>
        <w:rPr>
          <w:rFonts w:ascii="Arial" w:hAnsi="Arial" w:cs="Arial"/>
        </w:rPr>
      </w:pPr>
    </w:p>
    <w:p w:rsidR="00030A25" w:rsidRPr="00030A25" w:rsidRDefault="00030A25" w:rsidP="00030A25">
      <w:pPr>
        <w:spacing w:after="60"/>
        <w:ind w:left="357"/>
        <w:jc w:val="both"/>
        <w:rPr>
          <w:rFonts w:ascii="Arial" w:hAnsi="Arial" w:cs="Arial"/>
        </w:rPr>
      </w:pPr>
      <w:r w:rsidRPr="00030A25">
        <w:rPr>
          <w:rFonts w:ascii="Arial" w:hAnsi="Arial" w:cs="Arial"/>
          <w:noProof/>
        </w:rPr>
        <w:drawing>
          <wp:inline distT="0" distB="0" distL="0" distR="0" wp14:anchorId="587FC36A" wp14:editId="3878AD59">
            <wp:extent cx="5760720" cy="3441065"/>
            <wp:effectExtent l="0" t="0" r="0" b="698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441065"/>
                    </a:xfrm>
                    <a:prstGeom prst="rect">
                      <a:avLst/>
                    </a:prstGeom>
                  </pic:spPr>
                </pic:pic>
              </a:graphicData>
            </a:graphic>
          </wp:inline>
        </w:drawing>
      </w:r>
    </w:p>
    <w:p w:rsidR="00030A25" w:rsidRPr="00030A25" w:rsidRDefault="00030A25" w:rsidP="00030A25">
      <w:pPr>
        <w:spacing w:after="60"/>
        <w:ind w:left="357"/>
        <w:jc w:val="both"/>
        <w:rPr>
          <w:rFonts w:ascii="Arial" w:hAnsi="Arial" w:cs="Arial"/>
        </w:rPr>
      </w:pPr>
    </w:p>
    <w:p w:rsidR="00030A25" w:rsidRPr="00030A25" w:rsidRDefault="00030A25" w:rsidP="00030A25">
      <w:pPr>
        <w:spacing w:after="60"/>
        <w:ind w:left="357"/>
        <w:jc w:val="both"/>
        <w:rPr>
          <w:rFonts w:ascii="Arial" w:hAnsi="Arial" w:cs="Arial"/>
        </w:rPr>
      </w:pPr>
      <w:r w:rsidRPr="00030A25">
        <w:rPr>
          <w:rFonts w:ascii="Arial" w:hAnsi="Arial" w:cs="Arial"/>
          <w:noProof/>
        </w:rPr>
        <w:lastRenderedPageBreak/>
        <w:drawing>
          <wp:inline distT="0" distB="0" distL="0" distR="0" wp14:anchorId="089F0222" wp14:editId="57217AD0">
            <wp:extent cx="5760720" cy="347281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472815"/>
                    </a:xfrm>
                    <a:prstGeom prst="rect">
                      <a:avLst/>
                    </a:prstGeom>
                  </pic:spPr>
                </pic:pic>
              </a:graphicData>
            </a:graphic>
          </wp:inline>
        </w:drawing>
      </w:r>
    </w:p>
    <w:p w:rsidR="00030A25" w:rsidRPr="00030A25" w:rsidRDefault="00030A25" w:rsidP="00030A25">
      <w:pPr>
        <w:spacing w:after="60"/>
        <w:ind w:left="357"/>
        <w:jc w:val="both"/>
        <w:rPr>
          <w:rFonts w:ascii="Arial" w:hAnsi="Arial" w:cs="Arial"/>
        </w:rPr>
      </w:pPr>
    </w:p>
    <w:p w:rsidR="00030A25" w:rsidRPr="00030A25" w:rsidRDefault="00030A25" w:rsidP="00030A25">
      <w:pPr>
        <w:spacing w:after="60"/>
        <w:jc w:val="both"/>
        <w:rPr>
          <w:rFonts w:ascii="Arial" w:hAnsi="Arial" w:cs="Arial"/>
        </w:rPr>
      </w:pPr>
      <w:r w:rsidRPr="00030A25">
        <w:rPr>
          <w:rFonts w:ascii="Arial" w:hAnsi="Arial" w:cs="Arial"/>
        </w:rPr>
        <w:t>Pour tous ces changements, nous avons identifié quels étaient les instruments ou secteurs impactés (avec par exemple dans quels instruments se sont répartis des instruments disparus). Il a fallu également déterminer des clés de répartition à appliquer dans les différents cas (nouvelles séries ou séries qui disparaissent). L’annexe 1 décrit en détail les instruments et secteurs utilisés ainsi que les explications concernant les choix de clés de répartition.</w:t>
      </w:r>
    </w:p>
    <w:p w:rsidR="00CE3E76" w:rsidRPr="00CE3E76" w:rsidRDefault="00CE3E76" w:rsidP="00CE3E76">
      <w:pPr>
        <w:spacing w:after="60"/>
        <w:ind w:left="357"/>
        <w:jc w:val="both"/>
        <w:rPr>
          <w:sz w:val="22"/>
          <w:szCs w:val="22"/>
        </w:rPr>
      </w:pPr>
    </w:p>
    <w:p w:rsidR="00030A25" w:rsidRDefault="00030A25" w:rsidP="00030A25">
      <w:pPr>
        <w:keepNext/>
        <w:ind w:left="284" w:hanging="284"/>
        <w:outlineLvl w:val="1"/>
        <w:rPr>
          <w:rFonts w:ascii="Arial" w:hAnsi="Arial" w:cs="Arial"/>
          <w:b/>
          <w:bCs/>
          <w:color w:val="4F81BD" w:themeColor="accent1"/>
          <w:sz w:val="26"/>
          <w:szCs w:val="26"/>
        </w:rPr>
      </w:pPr>
      <w:r>
        <w:rPr>
          <w:rFonts w:ascii="Arial" w:hAnsi="Arial" w:cs="Arial"/>
          <w:b/>
          <w:bCs/>
          <w:color w:val="4F81BD" w:themeColor="accent1"/>
          <w:sz w:val="26"/>
          <w:szCs w:val="26"/>
        </w:rPr>
        <w:t>3</w:t>
      </w:r>
      <w:r w:rsidR="00CE3E76" w:rsidRPr="00CE3E76">
        <w:rPr>
          <w:rFonts w:ascii="Arial" w:hAnsi="Arial" w:cs="Arial"/>
          <w:b/>
          <w:bCs/>
          <w:color w:val="4F81BD" w:themeColor="accent1"/>
          <w:sz w:val="26"/>
          <w:szCs w:val="26"/>
        </w:rPr>
        <w:t xml:space="preserve">. </w:t>
      </w:r>
      <w:r w:rsidRPr="00030A25">
        <w:rPr>
          <w:rFonts w:ascii="Arial" w:hAnsi="Arial" w:cs="Arial"/>
          <w:b/>
          <w:bCs/>
          <w:color w:val="4F81BD" w:themeColor="accent1"/>
          <w:sz w:val="26"/>
          <w:szCs w:val="26"/>
        </w:rPr>
        <w:t>L’algorithme principal de rétropolation</w:t>
      </w:r>
    </w:p>
    <w:p w:rsidR="00030A25" w:rsidRDefault="00030A25" w:rsidP="00030A25">
      <w:pPr>
        <w:keepNext/>
        <w:ind w:left="284" w:hanging="284"/>
        <w:outlineLvl w:val="1"/>
        <w:rPr>
          <w:rFonts w:ascii="Arial" w:hAnsi="Arial" w:cs="Arial"/>
        </w:rPr>
      </w:pPr>
    </w:p>
    <w:p w:rsidR="00030A25" w:rsidRPr="00030A25" w:rsidRDefault="00030A25" w:rsidP="00BF07D4">
      <w:pPr>
        <w:keepNext/>
        <w:jc w:val="both"/>
        <w:outlineLvl w:val="1"/>
        <w:rPr>
          <w:rFonts w:ascii="Arial" w:hAnsi="Arial" w:cs="Arial"/>
          <w:b/>
          <w:bCs/>
          <w:color w:val="4F81BD" w:themeColor="accent1"/>
          <w:sz w:val="26"/>
          <w:szCs w:val="26"/>
        </w:rPr>
      </w:pPr>
      <w:r w:rsidRPr="00030A25">
        <w:rPr>
          <w:rFonts w:ascii="Arial" w:hAnsi="Arial" w:cs="Arial"/>
        </w:rPr>
        <w:t xml:space="preserve">Au vu du nombre important de séries à rétropoler, nous avons mis en place un algorithme de rétropolation qui sera le cœur de notre méthodologie et que nous allons détailler ici. À cause de la difficulté de faire des choix adaptés à toutes les situations, nous nous autorisons également quelques ajustements manuels que nous détaillerons à la fin. </w:t>
      </w:r>
    </w:p>
    <w:p w:rsidR="00030A25" w:rsidRPr="00030A25" w:rsidRDefault="00030A25" w:rsidP="00030A25">
      <w:pPr>
        <w:keepNext/>
        <w:outlineLvl w:val="1"/>
        <w:rPr>
          <w:rFonts w:ascii="Arial" w:hAnsi="Arial" w:cs="Arial"/>
        </w:rPr>
      </w:pPr>
    </w:p>
    <w:p w:rsidR="00030A25" w:rsidRPr="00030A25" w:rsidRDefault="00030A25" w:rsidP="00030A25">
      <w:pPr>
        <w:keepNext/>
        <w:outlineLvl w:val="1"/>
        <w:rPr>
          <w:rFonts w:ascii="Arial" w:hAnsi="Arial" w:cs="Arial"/>
        </w:rPr>
      </w:pPr>
      <w:r w:rsidRPr="00030A25">
        <w:rPr>
          <w:rFonts w:ascii="Arial" w:hAnsi="Arial" w:cs="Arial"/>
        </w:rPr>
        <w:t xml:space="preserve">En comptabilité nationale, l’évolution des encours entre deux périodes s’articule autour de la relation suivante : </w:t>
      </w:r>
    </w:p>
    <w:p w:rsidR="00030A25" w:rsidRPr="00030A25" w:rsidRDefault="00030A25" w:rsidP="00030A25">
      <w:pPr>
        <w:keepNext/>
        <w:outlineLvl w:val="1"/>
        <w:rPr>
          <w:rFonts w:ascii="Arial" w:hAnsi="Arial" w:cs="Arial"/>
        </w:rPr>
      </w:pPr>
      <m:oMathPara>
        <m:oMath>
          <m:r>
            <w:rPr>
              <w:rFonts w:ascii="Cambria Math" w:hAnsi="Cambria Math" w:cs="Arial"/>
              <w:sz w:val="22"/>
            </w:rPr>
            <m:t>Encour</m:t>
          </m:r>
          <m:sSub>
            <m:sSubPr>
              <m:ctrlPr>
                <w:rPr>
                  <w:rFonts w:ascii="Cambria Math" w:hAnsi="Cambria Math" w:cs="Arial"/>
                  <w:i/>
                  <w:sz w:val="22"/>
                </w:rPr>
              </m:ctrlPr>
            </m:sSubPr>
            <m:e>
              <m:r>
                <w:rPr>
                  <w:rFonts w:ascii="Cambria Math" w:hAnsi="Cambria Math" w:cs="Arial"/>
                  <w:sz w:val="22"/>
                </w:rPr>
                <m:t>s</m:t>
              </m:r>
            </m:e>
            <m:sub>
              <m:r>
                <w:rPr>
                  <w:rFonts w:ascii="Cambria Math" w:hAnsi="Cambria Math" w:cs="Arial"/>
                  <w:sz w:val="22"/>
                </w:rPr>
                <m:t>t</m:t>
              </m:r>
            </m:sub>
          </m:sSub>
          <m:r>
            <w:rPr>
              <w:rFonts w:ascii="Cambria Math" w:hAnsi="Cambria Math" w:cs="Arial"/>
              <w:sz w:val="22"/>
            </w:rPr>
            <m:t>=</m:t>
          </m:r>
          <m:r>
            <w:rPr>
              <w:rFonts w:ascii="Cambria Math" w:hAnsi="Cambria Math" w:cs="Arial"/>
              <w:sz w:val="24"/>
            </w:rPr>
            <m:t>Encour</m:t>
          </m:r>
          <m:sSub>
            <m:sSubPr>
              <m:ctrlPr>
                <w:rPr>
                  <w:rFonts w:ascii="Cambria Math" w:hAnsi="Cambria Math" w:cs="Arial"/>
                  <w:i/>
                  <w:sz w:val="22"/>
                </w:rPr>
              </m:ctrlPr>
            </m:sSubPr>
            <m:e>
              <m:r>
                <w:rPr>
                  <w:rFonts w:ascii="Cambria Math" w:hAnsi="Cambria Math" w:cs="Arial"/>
                  <w:sz w:val="22"/>
                </w:rPr>
                <m:t>s</m:t>
              </m:r>
            </m:e>
            <m:sub>
              <m:r>
                <w:rPr>
                  <w:rFonts w:ascii="Cambria Math" w:hAnsi="Cambria Math" w:cs="Arial"/>
                  <w:sz w:val="22"/>
                </w:rPr>
                <m:t>t-1</m:t>
              </m:r>
            </m:sub>
          </m:sSub>
          <m:r>
            <w:rPr>
              <w:rFonts w:ascii="Cambria Math" w:hAnsi="Cambria Math" w:cs="Arial"/>
              <w:sz w:val="22"/>
            </w:rPr>
            <m:t>+Flu</m:t>
          </m:r>
          <m:sSub>
            <m:sSubPr>
              <m:ctrlPr>
                <w:rPr>
                  <w:rFonts w:ascii="Cambria Math" w:hAnsi="Cambria Math" w:cs="Arial"/>
                  <w:i/>
                  <w:sz w:val="22"/>
                </w:rPr>
              </m:ctrlPr>
            </m:sSubPr>
            <m:e>
              <m:r>
                <w:rPr>
                  <w:rFonts w:ascii="Cambria Math" w:hAnsi="Cambria Math" w:cs="Arial"/>
                  <w:sz w:val="22"/>
                </w:rPr>
                <m:t>x</m:t>
              </m:r>
            </m:e>
            <m:sub>
              <m:r>
                <w:rPr>
                  <w:rFonts w:ascii="Cambria Math" w:hAnsi="Cambria Math" w:cs="Arial"/>
                  <w:sz w:val="22"/>
                </w:rPr>
                <m:t>t</m:t>
              </m:r>
            </m:sub>
          </m:sSub>
          <m:r>
            <w:rPr>
              <w:rFonts w:ascii="Cambria Math" w:hAnsi="Cambria Math" w:cs="Arial"/>
              <w:sz w:val="22"/>
            </w:rPr>
            <m:t>+Réévaluatio</m:t>
          </m:r>
          <m:sSub>
            <m:sSubPr>
              <m:ctrlPr>
                <w:rPr>
                  <w:rFonts w:ascii="Cambria Math" w:hAnsi="Cambria Math" w:cs="Arial"/>
                  <w:i/>
                  <w:sz w:val="22"/>
                </w:rPr>
              </m:ctrlPr>
            </m:sSubPr>
            <m:e>
              <m:r>
                <w:rPr>
                  <w:rFonts w:ascii="Cambria Math" w:hAnsi="Cambria Math" w:cs="Arial"/>
                  <w:sz w:val="22"/>
                </w:rPr>
                <m:t>n</m:t>
              </m:r>
            </m:e>
            <m:sub>
              <m:r>
                <w:rPr>
                  <w:rFonts w:ascii="Cambria Math" w:hAnsi="Cambria Math" w:cs="Arial"/>
                  <w:sz w:val="22"/>
                </w:rPr>
                <m:t>t</m:t>
              </m:r>
            </m:sub>
          </m:sSub>
          <m:r>
            <w:rPr>
              <w:rFonts w:ascii="Cambria Math" w:hAnsi="Cambria Math" w:cs="Arial"/>
              <w:sz w:val="22"/>
            </w:rPr>
            <m:t>+Autres changements de volum</m:t>
          </m:r>
          <m:sSub>
            <m:sSubPr>
              <m:ctrlPr>
                <w:rPr>
                  <w:rFonts w:ascii="Cambria Math" w:hAnsi="Cambria Math" w:cs="Arial"/>
                  <w:i/>
                  <w:sz w:val="22"/>
                </w:rPr>
              </m:ctrlPr>
            </m:sSubPr>
            <m:e>
              <m:r>
                <w:rPr>
                  <w:rFonts w:ascii="Cambria Math" w:hAnsi="Cambria Math" w:cs="Arial"/>
                  <w:sz w:val="22"/>
                </w:rPr>
                <m:t>e</m:t>
              </m:r>
            </m:e>
            <m:sub>
              <m:r>
                <w:rPr>
                  <w:rFonts w:ascii="Cambria Math" w:hAnsi="Cambria Math" w:cs="Arial"/>
                  <w:sz w:val="22"/>
                </w:rPr>
                <m:t>t</m:t>
              </m:r>
            </m:sub>
          </m:sSub>
          <m:r>
            <w:rPr>
              <w:rFonts w:ascii="Cambria Math" w:hAnsi="Cambria Math" w:cs="Arial"/>
              <w:sz w:val="22"/>
            </w:rPr>
            <m:t xml:space="preserve"> </m:t>
          </m:r>
        </m:oMath>
      </m:oMathPara>
    </w:p>
    <w:p w:rsidR="00030A25" w:rsidRPr="00030A25" w:rsidRDefault="00030A25" w:rsidP="00030A25">
      <w:pPr>
        <w:keepNext/>
        <w:outlineLvl w:val="1"/>
        <w:rPr>
          <w:rFonts w:ascii="Arial" w:hAnsi="Arial" w:cs="Arial"/>
        </w:rPr>
      </w:pPr>
    </w:p>
    <w:p w:rsidR="00030A25" w:rsidRPr="00030A25" w:rsidRDefault="00030A25" w:rsidP="00BF07D4">
      <w:pPr>
        <w:keepNext/>
        <w:jc w:val="both"/>
        <w:outlineLvl w:val="1"/>
        <w:rPr>
          <w:rFonts w:ascii="Arial" w:hAnsi="Arial" w:cs="Arial"/>
        </w:rPr>
      </w:pPr>
      <w:r w:rsidRPr="00030A25">
        <w:rPr>
          <w:rFonts w:ascii="Arial" w:hAnsi="Arial" w:cs="Arial"/>
        </w:rPr>
        <w:t xml:space="preserve">Les flux correspondent aux transactions réalisées sur la période, les réévaluations à l’impact de l’évolution des prix de marché et les autres changements de volume à divers effets comme des reclassifications (d’instruments ou de secteurs par exemple), des créations ou disparitions d’entités ou encore des changements méthodologiques ou l’utilisation de nouvelles sources qui n’ont pas pu être rétropolées. </w:t>
      </w:r>
    </w:p>
    <w:p w:rsidR="00030A25" w:rsidRPr="00030A25" w:rsidRDefault="00030A25" w:rsidP="00BF07D4">
      <w:pPr>
        <w:keepNext/>
        <w:jc w:val="both"/>
        <w:outlineLvl w:val="1"/>
        <w:rPr>
          <w:rFonts w:ascii="Arial" w:hAnsi="Arial" w:cs="Arial"/>
        </w:rPr>
      </w:pPr>
      <w:r w:rsidRPr="00030A25">
        <w:rPr>
          <w:rFonts w:ascii="Arial" w:hAnsi="Arial" w:cs="Arial"/>
        </w:rPr>
        <w:t>Il est naturel de commencer à rétropoler les encours. En effet, dans l’élaboration des comptes financiers, la plupart des sources de données sont disponibles sous la forme d’encours. Les séries d’encours sont donc généralement robustes (dans l’ancienne comme dans la nouvelle base), il est donc préférable de les rétropoler en premier et ensuite d’articuler à partir de celles-ci les rétropolations des autres séries.</w:t>
      </w:r>
    </w:p>
    <w:p w:rsidR="00030A25" w:rsidRPr="00030A25" w:rsidRDefault="00030A25" w:rsidP="00BF07D4">
      <w:pPr>
        <w:keepNext/>
        <w:jc w:val="both"/>
        <w:outlineLvl w:val="1"/>
        <w:rPr>
          <w:rFonts w:ascii="Arial" w:hAnsi="Arial" w:cs="Arial"/>
        </w:rPr>
      </w:pPr>
      <w:r w:rsidRPr="00030A25">
        <w:rPr>
          <w:rFonts w:ascii="Arial" w:hAnsi="Arial" w:cs="Arial"/>
        </w:rPr>
        <w:t xml:space="preserve">Comme nous allons le voir, les effets de valorisation se déduisent assez facilement et restent très liés aux niveaux d’encours. Il se pose alors la question d’essayer de rétropoler les flux (selon une méthode plus ou moins similaire à celle employée pour les encours) et d’en déduire les autres changements de volume selon la formule ci-dessus ou à l’inverse de rétropoler les changements de volume et d’en déduire les flux. Nous avons testé les deux approches, chacune pouvant a priori présenter des avantages et des inconvénients. Il s’avère que si on rétropole les flux, il va assez inévitablement se produire des différences de cohérence sur la manière de rétropoler les encours d’une part et les flux d’autre part. Ces différences vont alors créer des valeurs d’autres changements de volume trop bruitées pour être exploitables en pratique et trop différentes de ce qui était observé pour l’ancienne base, même pour des instruments a priori peu impactés. Nous avons donc fait le choix de rétropoler les autres changements de volume et d’en </w:t>
      </w:r>
      <w:r w:rsidRPr="00030A25">
        <w:rPr>
          <w:rFonts w:ascii="Arial" w:hAnsi="Arial" w:cs="Arial"/>
        </w:rPr>
        <w:lastRenderedPageBreak/>
        <w:t>déduire les flux même si, nous allons le voir, la rétropolation de ces changements de volume s’avère délicate.</w:t>
      </w:r>
    </w:p>
    <w:p w:rsidR="00030A25" w:rsidRPr="00030A25" w:rsidRDefault="00030A25" w:rsidP="00BF07D4">
      <w:pPr>
        <w:keepNext/>
        <w:jc w:val="both"/>
        <w:outlineLvl w:val="1"/>
        <w:rPr>
          <w:rFonts w:ascii="Arial" w:hAnsi="Arial" w:cs="Arial"/>
        </w:rPr>
      </w:pPr>
    </w:p>
    <w:p w:rsidR="00030A25" w:rsidRPr="00030A25" w:rsidRDefault="00030A25" w:rsidP="00BF07D4">
      <w:pPr>
        <w:keepNext/>
        <w:jc w:val="both"/>
        <w:outlineLvl w:val="1"/>
        <w:rPr>
          <w:rFonts w:ascii="Arial" w:hAnsi="Arial" w:cs="Arial"/>
        </w:rPr>
      </w:pPr>
      <w:r w:rsidRPr="00030A25">
        <w:rPr>
          <w:rFonts w:ascii="Arial" w:hAnsi="Arial" w:cs="Arial"/>
        </w:rPr>
        <w:t>Dans ce qui va suivre, nous allons donc décrire successivement les choix retenus pour rétropoler les encours, les effets de revalorisation et les changements de volume. Comme indiqué, les flux seront déduits de la connaissance des trois grandeurs précédentes.</w:t>
      </w:r>
    </w:p>
    <w:p w:rsidR="00CE3E76" w:rsidRPr="00CE3E76" w:rsidRDefault="00CE3E76" w:rsidP="00CE3E76">
      <w:pPr>
        <w:keepNext/>
        <w:outlineLvl w:val="1"/>
        <w:rPr>
          <w:rFonts w:ascii="Arial" w:hAnsi="Arial" w:cs="Arial"/>
          <w:b/>
          <w:bCs/>
          <w:color w:val="007D69"/>
        </w:rPr>
      </w:pPr>
    </w:p>
    <w:p w:rsidR="0080460B" w:rsidRPr="00CE3E76" w:rsidRDefault="0080460B" w:rsidP="0080460B">
      <w:pPr>
        <w:keepNext/>
        <w:spacing w:before="240" w:after="120"/>
        <w:ind w:left="567" w:hanging="567"/>
        <w:outlineLvl w:val="3"/>
        <w:rPr>
          <w:rFonts w:ascii="Arial" w:hAnsi="Arial" w:cs="Arial"/>
          <w:color w:val="4F81BD" w:themeColor="accent1"/>
          <w:sz w:val="22"/>
          <w:szCs w:val="22"/>
        </w:rPr>
      </w:pPr>
      <w:r>
        <w:rPr>
          <w:rFonts w:ascii="Arial" w:hAnsi="Arial" w:cs="Arial"/>
          <w:color w:val="4F81BD" w:themeColor="accent1"/>
          <w:sz w:val="22"/>
          <w:szCs w:val="22"/>
        </w:rPr>
        <w:t>3</w:t>
      </w:r>
      <w:r w:rsidRPr="00CE3E76">
        <w:rPr>
          <w:rFonts w:ascii="Arial" w:hAnsi="Arial" w:cs="Arial"/>
          <w:color w:val="4F81BD" w:themeColor="accent1"/>
          <w:sz w:val="22"/>
          <w:szCs w:val="22"/>
        </w:rPr>
        <w:t>.1.</w:t>
      </w:r>
      <w:r w:rsidRPr="00CE3E76">
        <w:rPr>
          <w:rFonts w:ascii="Arial" w:hAnsi="Arial" w:cs="Arial"/>
          <w:color w:val="4F81BD" w:themeColor="accent1"/>
          <w:sz w:val="22"/>
          <w:szCs w:val="22"/>
        </w:rPr>
        <w:tab/>
      </w:r>
      <w:r w:rsidRPr="0080460B">
        <w:rPr>
          <w:rFonts w:ascii="Arial" w:hAnsi="Arial" w:cs="Arial"/>
          <w:color w:val="4F81BD" w:themeColor="accent1"/>
          <w:sz w:val="22"/>
          <w:szCs w:val="22"/>
        </w:rPr>
        <w:t>Rétropolation des encours</w:t>
      </w:r>
    </w:p>
    <w:p w:rsidR="00CE3E76" w:rsidRPr="00CE3E76" w:rsidRDefault="00CE3E76" w:rsidP="00CE3E76"/>
    <w:p w:rsidR="0080460B" w:rsidRPr="0080460B" w:rsidRDefault="0080460B" w:rsidP="0080460B">
      <w:pPr>
        <w:jc w:val="both"/>
        <w:rPr>
          <w:rFonts w:ascii="Arial" w:hAnsi="Arial" w:cs="Arial"/>
        </w:rPr>
      </w:pPr>
      <w:r w:rsidRPr="0080460B">
        <w:rPr>
          <w:rFonts w:ascii="Arial" w:hAnsi="Arial" w:cs="Arial"/>
        </w:rPr>
        <w:t xml:space="preserve">Pour les encours (noté E par la suite), le choix qui a été retenu est de conserver la base 2014 actuelle de 1995 jusqu’à nos jours puis de calculer les taux de croissance annuels observés en base 2000 sur la période de temps allant de 1977 jusqu’à 1995 et d’appliquer à rebours ces taux de croissance sur les données d’encours précédemment obtenus afin de remonter dans le passé dans la nouvelle base. </w:t>
      </w:r>
    </w:p>
    <w:p w:rsidR="0080460B" w:rsidRPr="0080460B" w:rsidRDefault="00D94F51" w:rsidP="0080460B">
      <w:pPr>
        <w:jc w:val="both"/>
        <w:rPr>
          <w:rFonts w:ascii="Arial" w:hAnsi="Arial" w:cs="Arial"/>
        </w:rPr>
      </w:pPr>
      <m:oMathPara>
        <m:oMath>
          <m:sSub>
            <m:sSubPr>
              <m:ctrlPr>
                <w:rPr>
                  <w:rFonts w:ascii="Cambria Math" w:hAnsi="Cambria Math" w:cs="Arial"/>
                  <w:i/>
                  <w:sz w:val="22"/>
                </w:rPr>
              </m:ctrlPr>
            </m:sSubPr>
            <m:e>
              <m:r>
                <w:rPr>
                  <w:rFonts w:ascii="Cambria Math" w:hAnsi="Cambria Math" w:cs="Arial"/>
                  <w:sz w:val="22"/>
                </w:rPr>
                <m:t>E</m:t>
              </m:r>
            </m:e>
            <m:sub>
              <m:r>
                <w:rPr>
                  <w:rFonts w:ascii="Cambria Math" w:hAnsi="Cambria Math" w:cs="Arial"/>
                  <w:sz w:val="22"/>
                </w:rPr>
                <m:t xml:space="preserve">N-1, base </m:t>
              </m:r>
              <m:r>
                <w:rPr>
                  <w:rFonts w:ascii="Cambria Math" w:hAnsi="Cambria Math" w:cs="Arial"/>
                  <w:sz w:val="24"/>
                </w:rPr>
                <m:t>2014</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E</m:t>
              </m:r>
            </m:e>
            <m:sub>
              <m:r>
                <w:rPr>
                  <w:rFonts w:ascii="Cambria Math" w:hAnsi="Cambria Math" w:cs="Arial"/>
                  <w:sz w:val="22"/>
                </w:rPr>
                <m:t>N, base 2014</m:t>
              </m:r>
            </m:sub>
          </m:sSub>
          <m:r>
            <w:rPr>
              <w:rFonts w:ascii="Cambria Math" w:hAnsi="Cambria Math" w:cs="Arial"/>
              <w:sz w:val="22"/>
            </w:rPr>
            <m:t>*</m:t>
          </m:r>
          <m:f>
            <m:fPr>
              <m:ctrlPr>
                <w:rPr>
                  <w:rFonts w:ascii="Cambria Math" w:hAnsi="Cambria Math" w:cs="Arial"/>
                  <w:i/>
                  <w:sz w:val="22"/>
                </w:rPr>
              </m:ctrlPr>
            </m:fPr>
            <m:num>
              <m:sSub>
                <m:sSubPr>
                  <m:ctrlPr>
                    <w:rPr>
                      <w:rFonts w:ascii="Cambria Math" w:hAnsi="Cambria Math" w:cs="Arial"/>
                      <w:i/>
                      <w:sz w:val="22"/>
                    </w:rPr>
                  </m:ctrlPr>
                </m:sSubPr>
                <m:e>
                  <m:r>
                    <w:rPr>
                      <w:rFonts w:ascii="Cambria Math" w:hAnsi="Cambria Math" w:cs="Arial"/>
                      <w:sz w:val="22"/>
                    </w:rPr>
                    <m:t>E</m:t>
                  </m:r>
                </m:e>
                <m:sub>
                  <m:r>
                    <w:rPr>
                      <w:rFonts w:ascii="Cambria Math" w:hAnsi="Cambria Math" w:cs="Arial"/>
                      <w:sz w:val="22"/>
                    </w:rPr>
                    <m:t>N-1, base 2000</m:t>
                  </m:r>
                </m:sub>
              </m:sSub>
            </m:num>
            <m:den>
              <m:sSub>
                <m:sSubPr>
                  <m:ctrlPr>
                    <w:rPr>
                      <w:rFonts w:ascii="Cambria Math" w:hAnsi="Cambria Math" w:cs="Arial"/>
                      <w:i/>
                      <w:sz w:val="22"/>
                    </w:rPr>
                  </m:ctrlPr>
                </m:sSubPr>
                <m:e>
                  <m:r>
                    <w:rPr>
                      <w:rFonts w:ascii="Cambria Math" w:hAnsi="Cambria Math" w:cs="Arial"/>
                      <w:sz w:val="22"/>
                    </w:rPr>
                    <m:t>E</m:t>
                  </m:r>
                </m:e>
                <m:sub>
                  <m:r>
                    <w:rPr>
                      <w:rFonts w:ascii="Cambria Math" w:hAnsi="Cambria Math" w:cs="Arial"/>
                      <w:sz w:val="22"/>
                    </w:rPr>
                    <m:t>N, base 2000</m:t>
                  </m:r>
                </m:sub>
              </m:sSub>
            </m:den>
          </m:f>
        </m:oMath>
      </m:oMathPara>
    </w:p>
    <w:p w:rsidR="0080460B" w:rsidRPr="0080460B" w:rsidRDefault="0080460B" w:rsidP="0080460B">
      <w:pPr>
        <w:jc w:val="both"/>
        <w:rPr>
          <w:rFonts w:ascii="Arial" w:hAnsi="Arial" w:cs="Arial"/>
        </w:rPr>
      </w:pPr>
      <w:r w:rsidRPr="0080460B">
        <w:rPr>
          <w:rFonts w:ascii="Arial" w:hAnsi="Arial" w:cs="Arial"/>
        </w:rPr>
        <w:t xml:space="preserve">Ceci permet de recoller parfaitement les 2 bases sur l’année 1995 de transition et de conserver la dynamique telle qu’elle était observée en base 2000. </w:t>
      </w:r>
    </w:p>
    <w:p w:rsidR="0080460B" w:rsidRPr="0080460B" w:rsidRDefault="0080460B" w:rsidP="0080460B">
      <w:pPr>
        <w:jc w:val="both"/>
        <w:rPr>
          <w:rFonts w:ascii="Arial" w:hAnsi="Arial" w:cs="Arial"/>
        </w:rPr>
      </w:pPr>
      <w:r w:rsidRPr="0080460B">
        <w:rPr>
          <w:rFonts w:ascii="Arial" w:hAnsi="Arial" w:cs="Arial"/>
        </w:rPr>
        <w:t>Lorsque les séries en base 2000 et base 2014 sont proches, la démarche pose peu de questions et semble robuste. Toutefois, il existe des cas où les séries dans les 2 bases sont assez éloignées, malgré le travail décrit en partie 2 pour associer et rapprocher au mieux les séries. Ces différences sont le plus souvent dues à l’amélioration des méthodologies et des sources utilisées qui ont eu lieu depuis la base 2000 (par exemple, une nouvelle source de données est disponible, ou bien une ancienne source donne à partir d’une certaine date des niveaux de détail plus fins qui permettent de produire des statistiques de comptabilité nationale plus précises). Dans ces cas où les séries sont plus éloignées, la méthodologie est probablement plus fragile mais est également difficilement améliorable, à la fois faute de pouvoir retracer dans chaque cas les causes passées des écarts mais aussi du fait de l’absence de données alternatives qui permettraient d’apporter les corrections potentiellement adéquates.</w:t>
      </w:r>
    </w:p>
    <w:p w:rsidR="0080460B" w:rsidRPr="0080460B" w:rsidRDefault="0080460B" w:rsidP="0080460B">
      <w:pPr>
        <w:jc w:val="both"/>
        <w:rPr>
          <w:rFonts w:ascii="Arial" w:hAnsi="Arial" w:cs="Arial"/>
        </w:rPr>
      </w:pPr>
      <w:r w:rsidRPr="0080460B">
        <w:rPr>
          <w:rFonts w:ascii="Arial" w:hAnsi="Arial" w:cs="Arial"/>
        </w:rPr>
        <w:t>Les deux graphiques suivants donnent des exemples de rétropolation dans un cas de séries proches entre les 2 bases puis dans un cas où les séries diffèrent plus sensiblement.</w:t>
      </w:r>
    </w:p>
    <w:p w:rsidR="0080460B" w:rsidRPr="0080460B" w:rsidRDefault="0080460B" w:rsidP="0080460B">
      <w:pPr>
        <w:jc w:val="both"/>
        <w:rPr>
          <w:rFonts w:ascii="Arial" w:hAnsi="Arial" w:cs="Arial"/>
        </w:rPr>
      </w:pPr>
    </w:p>
    <w:p w:rsidR="0080460B" w:rsidRPr="0080460B" w:rsidRDefault="0080460B" w:rsidP="0080460B">
      <w:pPr>
        <w:jc w:val="both"/>
        <w:rPr>
          <w:rFonts w:ascii="Arial" w:hAnsi="Arial" w:cs="Arial"/>
        </w:rPr>
      </w:pPr>
      <w:r w:rsidRPr="0080460B">
        <w:rPr>
          <w:rFonts w:ascii="Arial" w:hAnsi="Arial" w:cs="Arial"/>
          <w:noProof/>
        </w:rPr>
        <w:drawing>
          <wp:inline distT="0" distB="0" distL="0" distR="0" wp14:anchorId="621220C9" wp14:editId="6C80B03C">
            <wp:extent cx="5522639" cy="3359727"/>
            <wp:effectExtent l="0" t="0" r="190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4015" cy="3372731"/>
                    </a:xfrm>
                    <a:prstGeom prst="rect">
                      <a:avLst/>
                    </a:prstGeom>
                  </pic:spPr>
                </pic:pic>
              </a:graphicData>
            </a:graphic>
          </wp:inline>
        </w:drawing>
      </w:r>
    </w:p>
    <w:p w:rsidR="0080460B" w:rsidRPr="0080460B" w:rsidRDefault="0080460B" w:rsidP="0080460B">
      <w:pPr>
        <w:jc w:val="both"/>
        <w:rPr>
          <w:rFonts w:ascii="Arial" w:hAnsi="Arial" w:cs="Arial"/>
          <w:i/>
          <w:iCs/>
        </w:rPr>
      </w:pPr>
      <w:r w:rsidRPr="0080460B">
        <w:rPr>
          <w:rFonts w:ascii="Arial" w:hAnsi="Arial" w:cs="Arial"/>
          <w:i/>
          <w:iCs/>
        </w:rPr>
        <w:t>Graphique 1 : Exemple d’une série dont les niveaux sont proches en base 2000 et base 2014</w:t>
      </w:r>
    </w:p>
    <w:p w:rsidR="0080460B" w:rsidRPr="0080460B" w:rsidRDefault="0080460B" w:rsidP="0080460B">
      <w:pPr>
        <w:jc w:val="both"/>
        <w:rPr>
          <w:rFonts w:ascii="Arial" w:hAnsi="Arial" w:cs="Arial"/>
        </w:rPr>
      </w:pPr>
      <w:r w:rsidRPr="0080460B">
        <w:rPr>
          <w:rFonts w:ascii="Arial" w:hAnsi="Arial" w:cs="Arial"/>
          <w:noProof/>
        </w:rPr>
        <w:lastRenderedPageBreak/>
        <w:drawing>
          <wp:inline distT="0" distB="0" distL="0" distR="0" wp14:anchorId="1FF5D93F" wp14:editId="359C0BA5">
            <wp:extent cx="5514110" cy="3368518"/>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6667" cy="3370080"/>
                    </a:xfrm>
                    <a:prstGeom prst="rect">
                      <a:avLst/>
                    </a:prstGeom>
                  </pic:spPr>
                </pic:pic>
              </a:graphicData>
            </a:graphic>
          </wp:inline>
        </w:drawing>
      </w:r>
    </w:p>
    <w:p w:rsidR="0080460B" w:rsidRPr="0080460B" w:rsidRDefault="0080460B" w:rsidP="0080460B">
      <w:pPr>
        <w:jc w:val="both"/>
        <w:rPr>
          <w:rFonts w:ascii="Arial" w:hAnsi="Arial" w:cs="Arial"/>
          <w:i/>
          <w:iCs/>
        </w:rPr>
      </w:pPr>
      <w:r w:rsidRPr="0080460B">
        <w:rPr>
          <w:rFonts w:ascii="Arial" w:hAnsi="Arial" w:cs="Arial"/>
          <w:i/>
          <w:iCs/>
        </w:rPr>
        <w:t>Graphique 2 : Exemple d’une série dont les niveaux sont éloignés en base 2000 et base 2014</w:t>
      </w:r>
    </w:p>
    <w:p w:rsidR="0080460B" w:rsidRPr="0080460B" w:rsidRDefault="0080460B" w:rsidP="0080460B">
      <w:pPr>
        <w:jc w:val="both"/>
        <w:rPr>
          <w:rFonts w:ascii="Arial" w:hAnsi="Arial" w:cs="Arial"/>
        </w:rPr>
      </w:pPr>
    </w:p>
    <w:p w:rsidR="0080460B" w:rsidRPr="0080460B" w:rsidRDefault="0080460B" w:rsidP="0080460B">
      <w:pPr>
        <w:jc w:val="both"/>
        <w:rPr>
          <w:rFonts w:ascii="Arial" w:hAnsi="Arial" w:cs="Arial"/>
        </w:rPr>
      </w:pPr>
    </w:p>
    <w:p w:rsidR="0080460B" w:rsidRPr="0080460B" w:rsidRDefault="0080460B" w:rsidP="0080460B">
      <w:pPr>
        <w:jc w:val="both"/>
        <w:rPr>
          <w:rFonts w:ascii="Arial" w:hAnsi="Arial" w:cs="Arial"/>
        </w:rPr>
      </w:pPr>
      <w:r w:rsidRPr="0080460B">
        <w:rPr>
          <w:rFonts w:ascii="Arial" w:hAnsi="Arial" w:cs="Arial"/>
        </w:rPr>
        <w:t>Une fois cette méthodologie par les taux de croissance retenue, il faut décider comment l’appliquer au niveau des instruments. Une première approche naturelle consiste à appliquer cette méthode au niveau le plus fin, instruments par instruments et d’en déduire les séries de total des actifs et total des passifs pour chaque instrument. Cependant, une telle approche conduit à avoir des divergences spontanées entre les totaux d’actif et les totaux de passif, alors même que cette égalité comptable est bien respectée dans les séries utilisées en base 2000 et 2014 (« équilibrage horizontal » dans le vocabulaire de comptabilité nationale). Cela est en particulier dû à des effets croisés entre ventilation en instruments et application des taux de croissance.</w:t>
      </w:r>
    </w:p>
    <w:p w:rsidR="0080460B" w:rsidRPr="0080460B" w:rsidRDefault="0080460B" w:rsidP="0080460B">
      <w:pPr>
        <w:jc w:val="both"/>
        <w:rPr>
          <w:rFonts w:ascii="Arial" w:hAnsi="Arial" w:cs="Arial"/>
        </w:rPr>
      </w:pPr>
      <w:r w:rsidRPr="0080460B">
        <w:rPr>
          <w:rFonts w:ascii="Arial" w:hAnsi="Arial" w:cs="Arial"/>
        </w:rPr>
        <w:t>L’exemple simplifié suivant avec seulement 2 secteurs illustre cette divergence, avec un total actif de 9 qui diffère du total passif de 8,86.</w:t>
      </w:r>
    </w:p>
    <w:p w:rsidR="0080460B" w:rsidRPr="0080460B" w:rsidRDefault="0080460B" w:rsidP="0080460B">
      <w:pPr>
        <w:jc w:val="both"/>
        <w:rPr>
          <w:rFonts w:ascii="Arial" w:hAnsi="Arial" w:cs="Arial"/>
        </w:rPr>
      </w:pPr>
      <w:r w:rsidRPr="0080460B">
        <w:rPr>
          <w:rFonts w:ascii="Arial" w:hAnsi="Arial" w:cs="Arial"/>
          <w:noProof/>
        </w:rPr>
        <w:drawing>
          <wp:inline distT="0" distB="0" distL="0" distR="0" wp14:anchorId="3E7796E7" wp14:editId="0CE4ED38">
            <wp:extent cx="5760720" cy="259334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593340"/>
                    </a:xfrm>
                    <a:prstGeom prst="rect">
                      <a:avLst/>
                    </a:prstGeom>
                  </pic:spPr>
                </pic:pic>
              </a:graphicData>
            </a:graphic>
          </wp:inline>
        </w:drawing>
      </w:r>
    </w:p>
    <w:p w:rsidR="0080460B" w:rsidRPr="0080460B" w:rsidRDefault="0080460B" w:rsidP="0080460B">
      <w:pPr>
        <w:jc w:val="both"/>
        <w:rPr>
          <w:rFonts w:ascii="Arial" w:hAnsi="Arial" w:cs="Arial"/>
          <w:i/>
          <w:iCs/>
        </w:rPr>
      </w:pPr>
      <w:r w:rsidRPr="0080460B">
        <w:rPr>
          <w:rFonts w:ascii="Arial" w:hAnsi="Arial" w:cs="Arial"/>
          <w:i/>
          <w:iCs/>
        </w:rPr>
        <w:t xml:space="preserve">Figure </w:t>
      </w:r>
      <w:r w:rsidRPr="0080460B">
        <w:rPr>
          <w:rFonts w:ascii="Arial" w:hAnsi="Arial" w:cs="Arial"/>
          <w:i/>
          <w:iCs/>
        </w:rPr>
        <w:fldChar w:fldCharType="begin"/>
      </w:r>
      <w:r w:rsidRPr="0080460B">
        <w:rPr>
          <w:rFonts w:ascii="Arial" w:hAnsi="Arial" w:cs="Arial"/>
          <w:i/>
          <w:iCs/>
        </w:rPr>
        <w:instrText xml:space="preserve"> SEQ Figure \* ARABIC </w:instrText>
      </w:r>
      <w:r w:rsidRPr="0080460B">
        <w:rPr>
          <w:rFonts w:ascii="Arial" w:hAnsi="Arial" w:cs="Arial"/>
          <w:i/>
          <w:iCs/>
        </w:rPr>
        <w:fldChar w:fldCharType="separate"/>
      </w:r>
      <w:r w:rsidRPr="0080460B">
        <w:rPr>
          <w:rFonts w:ascii="Arial" w:hAnsi="Arial" w:cs="Arial"/>
          <w:i/>
          <w:iCs/>
        </w:rPr>
        <w:t>1</w:t>
      </w:r>
      <w:r w:rsidRPr="0080460B">
        <w:rPr>
          <w:rFonts w:ascii="Arial" w:hAnsi="Arial" w:cs="Arial"/>
        </w:rPr>
        <w:fldChar w:fldCharType="end"/>
      </w:r>
      <w:r w:rsidRPr="0080460B">
        <w:rPr>
          <w:rFonts w:ascii="Arial" w:hAnsi="Arial" w:cs="Arial"/>
          <w:i/>
          <w:iCs/>
        </w:rPr>
        <w:t> : Illustration de la divergence entre les totaux actifs et passifs avec une approche granulaire de rétropolation</w:t>
      </w:r>
    </w:p>
    <w:p w:rsidR="0080460B" w:rsidRPr="0080460B" w:rsidRDefault="0080460B" w:rsidP="0080460B">
      <w:pPr>
        <w:jc w:val="both"/>
        <w:rPr>
          <w:rFonts w:ascii="Arial" w:hAnsi="Arial" w:cs="Arial"/>
        </w:rPr>
      </w:pPr>
    </w:p>
    <w:p w:rsidR="0080460B" w:rsidRPr="0080460B" w:rsidRDefault="0080460B" w:rsidP="0080460B">
      <w:pPr>
        <w:jc w:val="both"/>
        <w:rPr>
          <w:rFonts w:ascii="Arial" w:hAnsi="Arial" w:cs="Arial"/>
        </w:rPr>
      </w:pPr>
      <w:r w:rsidRPr="0080460B">
        <w:rPr>
          <w:rFonts w:ascii="Arial" w:hAnsi="Arial" w:cs="Arial"/>
        </w:rPr>
        <w:t xml:space="preserve">Pour chaque instrument financier, nous avons donc décidé de calculer à la fois la rétropolation au niveau de chaque secteur mais aussi au niveau des totaux actifs et totaux passifs (pour l’ensemble des secteurs) qui vont nous servir d’ancrage. </w:t>
      </w:r>
    </w:p>
    <w:p w:rsidR="0080460B" w:rsidRPr="0080460B" w:rsidRDefault="0080460B" w:rsidP="0080460B">
      <w:pPr>
        <w:jc w:val="both"/>
        <w:rPr>
          <w:rFonts w:ascii="Arial" w:hAnsi="Arial" w:cs="Arial"/>
        </w:rPr>
      </w:pPr>
      <w:r w:rsidRPr="0080460B">
        <w:rPr>
          <w:rFonts w:ascii="Arial" w:hAnsi="Arial" w:cs="Arial"/>
        </w:rPr>
        <w:t>Au niveau des secteurs, deux cas sont distingués :</w:t>
      </w:r>
    </w:p>
    <w:p w:rsidR="0080460B" w:rsidRPr="0080460B" w:rsidRDefault="0080460B" w:rsidP="0080460B">
      <w:pPr>
        <w:numPr>
          <w:ilvl w:val="0"/>
          <w:numId w:val="35"/>
        </w:numPr>
        <w:jc w:val="both"/>
        <w:rPr>
          <w:rFonts w:ascii="Arial" w:hAnsi="Arial" w:cs="Arial"/>
        </w:rPr>
      </w:pPr>
      <w:r w:rsidRPr="0080460B">
        <w:rPr>
          <w:rFonts w:ascii="Arial" w:hAnsi="Arial" w:cs="Arial"/>
        </w:rPr>
        <w:lastRenderedPageBreak/>
        <w:t xml:space="preserve">Si la nouvelle série rétropolée est identique à la série en base 2000 ou très proche, on décide de la conserver telle quelle. En effet, on constate en pratique que la rétropolation affecte très peu voire pas du tout certains secteurs et on a plutôt envie de conserver ces séries telles quelles plutôt que de voir des contraintes d’équilibrage comptable leur ajouter des nouvelles modifications ou du bruit. En pratique, pour un secteur i, on calcule selon la formule décrite précédemment une première estimation </w:t>
      </w:r>
      <m:oMath>
        <m:sSup>
          <m:sSupPr>
            <m:ctrlPr>
              <w:rPr>
                <w:rFonts w:ascii="Cambria Math" w:hAnsi="Cambria Math" w:cs="Arial"/>
                <w:i/>
                <w:sz w:val="22"/>
              </w:rPr>
            </m:ctrlPr>
          </m:sSupPr>
          <m:e>
            <m:acc>
              <m:accPr>
                <m:ctrlPr>
                  <w:rPr>
                    <w:rFonts w:ascii="Cambria Math" w:hAnsi="Cambria Math" w:cs="Arial"/>
                    <w:i/>
                    <w:sz w:val="22"/>
                  </w:rPr>
                </m:ctrlPr>
              </m:accPr>
              <m:e>
                <m:r>
                  <w:rPr>
                    <w:rFonts w:ascii="Cambria Math" w:hAnsi="Cambria Math" w:cs="Arial"/>
                    <w:sz w:val="22"/>
                  </w:rPr>
                  <m:t>E</m:t>
                </m:r>
              </m:e>
            </m:acc>
          </m:e>
          <m:sup>
            <m:r>
              <w:rPr>
                <w:rFonts w:ascii="Cambria Math" w:hAnsi="Cambria Math" w:cs="Arial"/>
                <w:sz w:val="22"/>
              </w:rPr>
              <m:t>i</m:t>
            </m:r>
          </m:sup>
        </m:sSup>
      </m:oMath>
    </w:p>
    <w:p w:rsidR="0080460B" w:rsidRPr="0080460B" w:rsidRDefault="00D94F51" w:rsidP="0080460B">
      <w:pPr>
        <w:jc w:val="both"/>
        <w:rPr>
          <w:rFonts w:ascii="Arial" w:hAnsi="Arial" w:cs="Arial"/>
        </w:rPr>
      </w:pPr>
      <m:oMathPara>
        <m:oMath>
          <m:sSubSup>
            <m:sSubSupPr>
              <m:ctrlPr>
                <w:rPr>
                  <w:rFonts w:ascii="Cambria Math" w:hAnsi="Cambria Math" w:cs="Arial"/>
                  <w:i/>
                  <w:sz w:val="22"/>
                </w:rPr>
              </m:ctrlPr>
            </m:sSubSupPr>
            <m:e>
              <m:acc>
                <m:accPr>
                  <m:ctrlPr>
                    <w:rPr>
                      <w:rFonts w:ascii="Cambria Math" w:hAnsi="Cambria Math" w:cs="Arial"/>
                      <w:i/>
                      <w:sz w:val="22"/>
                    </w:rPr>
                  </m:ctrlPr>
                </m:accPr>
                <m:e>
                  <m:r>
                    <w:rPr>
                      <w:rFonts w:ascii="Cambria Math" w:hAnsi="Cambria Math" w:cs="Arial"/>
                      <w:sz w:val="22"/>
                    </w:rPr>
                    <m:t>E</m:t>
                  </m:r>
                </m:e>
              </m:acc>
            </m:e>
            <m:sub>
              <m:r>
                <w:rPr>
                  <w:rFonts w:ascii="Cambria Math" w:hAnsi="Cambria Math" w:cs="Arial"/>
                  <w:sz w:val="22"/>
                </w:rPr>
                <m:t>N-1, base 2014</m:t>
              </m:r>
            </m:sub>
            <m:sup>
              <m:r>
                <w:rPr>
                  <w:rFonts w:ascii="Cambria Math" w:hAnsi="Cambria Math" w:cs="Arial"/>
                  <w:sz w:val="22"/>
                </w:rPr>
                <m:t>i</m:t>
              </m:r>
            </m:sup>
          </m:sSubSup>
          <m:r>
            <w:rPr>
              <w:rFonts w:ascii="Cambria Math" w:hAnsi="Cambria Math" w:cs="Arial"/>
              <w:sz w:val="22"/>
            </w:rPr>
            <m:t>=</m:t>
          </m:r>
          <m:sSubSup>
            <m:sSubSupPr>
              <m:ctrlPr>
                <w:rPr>
                  <w:rFonts w:ascii="Cambria Math" w:hAnsi="Cambria Math" w:cs="Arial"/>
                  <w:i/>
                  <w:sz w:val="22"/>
                </w:rPr>
              </m:ctrlPr>
            </m:sSubSupPr>
            <m:e>
              <m:r>
                <w:rPr>
                  <w:rFonts w:ascii="Cambria Math" w:hAnsi="Cambria Math" w:cs="Arial"/>
                  <w:sz w:val="22"/>
                </w:rPr>
                <m:t>E</m:t>
              </m:r>
            </m:e>
            <m:sub>
              <m:r>
                <w:rPr>
                  <w:rFonts w:ascii="Cambria Math" w:hAnsi="Cambria Math" w:cs="Arial"/>
                  <w:sz w:val="22"/>
                </w:rPr>
                <m:t>N, base 2014</m:t>
              </m:r>
            </m:sub>
            <m:sup>
              <m:r>
                <w:rPr>
                  <w:rFonts w:ascii="Cambria Math" w:hAnsi="Cambria Math" w:cs="Arial"/>
                  <w:sz w:val="22"/>
                </w:rPr>
                <m:t>i</m:t>
              </m:r>
            </m:sup>
          </m:sSubSup>
          <m:r>
            <w:rPr>
              <w:rFonts w:ascii="Cambria Math" w:hAnsi="Cambria Math" w:cs="Arial"/>
              <w:sz w:val="22"/>
            </w:rPr>
            <m:t>*</m:t>
          </m:r>
          <m:f>
            <m:fPr>
              <m:ctrlPr>
                <w:rPr>
                  <w:rFonts w:ascii="Cambria Math" w:hAnsi="Cambria Math" w:cs="Arial"/>
                  <w:i/>
                  <w:sz w:val="22"/>
                </w:rPr>
              </m:ctrlPr>
            </m:fPr>
            <m:num>
              <m:sSubSup>
                <m:sSubSupPr>
                  <m:ctrlPr>
                    <w:rPr>
                      <w:rFonts w:ascii="Cambria Math" w:hAnsi="Cambria Math" w:cs="Arial"/>
                      <w:i/>
                      <w:sz w:val="22"/>
                    </w:rPr>
                  </m:ctrlPr>
                </m:sSubSupPr>
                <m:e>
                  <m:r>
                    <w:rPr>
                      <w:rFonts w:ascii="Cambria Math" w:hAnsi="Cambria Math" w:cs="Arial"/>
                      <w:sz w:val="22"/>
                    </w:rPr>
                    <m:t>E</m:t>
                  </m:r>
                </m:e>
                <m:sub>
                  <m:r>
                    <w:rPr>
                      <w:rFonts w:ascii="Cambria Math" w:hAnsi="Cambria Math" w:cs="Arial"/>
                      <w:sz w:val="22"/>
                    </w:rPr>
                    <m:t>N-1, base 2000</m:t>
                  </m:r>
                </m:sub>
                <m:sup>
                  <m:r>
                    <w:rPr>
                      <w:rFonts w:ascii="Cambria Math" w:hAnsi="Cambria Math" w:cs="Arial"/>
                      <w:sz w:val="22"/>
                    </w:rPr>
                    <m:t>i</m:t>
                  </m:r>
                </m:sup>
              </m:sSubSup>
            </m:num>
            <m:den>
              <m:sSubSup>
                <m:sSubSupPr>
                  <m:ctrlPr>
                    <w:rPr>
                      <w:rFonts w:ascii="Cambria Math" w:hAnsi="Cambria Math" w:cs="Arial"/>
                      <w:i/>
                      <w:sz w:val="22"/>
                    </w:rPr>
                  </m:ctrlPr>
                </m:sSubSupPr>
                <m:e>
                  <m:r>
                    <w:rPr>
                      <w:rFonts w:ascii="Cambria Math" w:hAnsi="Cambria Math" w:cs="Arial"/>
                      <w:sz w:val="22"/>
                    </w:rPr>
                    <m:t>E</m:t>
                  </m:r>
                </m:e>
                <m:sub>
                  <m:r>
                    <w:rPr>
                      <w:rFonts w:ascii="Cambria Math" w:hAnsi="Cambria Math" w:cs="Arial"/>
                      <w:sz w:val="22"/>
                    </w:rPr>
                    <m:t>N, base 2000</m:t>
                  </m:r>
                </m:sub>
                <m:sup>
                  <m:r>
                    <w:rPr>
                      <w:rFonts w:ascii="Cambria Math" w:hAnsi="Cambria Math" w:cs="Arial"/>
                      <w:sz w:val="22"/>
                    </w:rPr>
                    <m:t>i</m:t>
                  </m:r>
                </m:sup>
              </m:sSubSup>
            </m:den>
          </m:f>
        </m:oMath>
      </m:oMathPara>
    </w:p>
    <w:p w:rsidR="0080460B" w:rsidRPr="0080460B" w:rsidRDefault="0080460B" w:rsidP="0080460B">
      <w:pPr>
        <w:jc w:val="both"/>
        <w:rPr>
          <w:rFonts w:ascii="Arial" w:hAnsi="Arial" w:cs="Arial"/>
        </w:rPr>
      </w:pPr>
      <w:r w:rsidRPr="0080460B">
        <w:rPr>
          <w:rFonts w:ascii="Arial" w:hAnsi="Arial" w:cs="Arial"/>
        </w:rPr>
        <w:t xml:space="preserve">Et on regarde si son écart relatif à l’encours à la base 2000 est supérieur ou inférieur à un seuil Δ en valeur absolue. Si tel est le cas, on prend comme valeur finale </w:t>
      </w:r>
      <m:oMath>
        <m:sSup>
          <m:sSupPr>
            <m:ctrlPr>
              <w:rPr>
                <w:rFonts w:ascii="Cambria Math" w:hAnsi="Cambria Math" w:cs="Arial"/>
                <w:i/>
              </w:rPr>
            </m:ctrlPr>
          </m:sSupPr>
          <m:e>
            <m:r>
              <w:rPr>
                <w:rFonts w:ascii="Cambria Math" w:hAnsi="Cambria Math" w:cs="Arial"/>
              </w:rPr>
              <m:t>E</m:t>
            </m:r>
          </m:e>
          <m:sup>
            <m:r>
              <w:rPr>
                <w:rFonts w:ascii="Cambria Math" w:hAnsi="Cambria Math" w:cs="Arial"/>
              </w:rPr>
              <m:t>i</m:t>
            </m:r>
          </m:sup>
        </m:sSup>
      </m:oMath>
      <w:r w:rsidRPr="0080460B">
        <w:rPr>
          <w:rFonts w:ascii="Arial" w:hAnsi="Arial" w:cs="Arial"/>
        </w:rPr>
        <w:t xml:space="preserve"> l’estimation</w:t>
      </w:r>
      <m:oMath>
        <m:sSup>
          <m:sSupPr>
            <m:ctrlPr>
              <w:rPr>
                <w:rFonts w:ascii="Cambria Math" w:hAnsi="Cambria Math" w:cs="Arial"/>
                <w:i/>
              </w:rPr>
            </m:ctrlPr>
          </m:sSupPr>
          <m:e>
            <m:acc>
              <m:accPr>
                <m:ctrlPr>
                  <w:rPr>
                    <w:rFonts w:ascii="Cambria Math" w:hAnsi="Cambria Math" w:cs="Arial"/>
                    <w:i/>
                  </w:rPr>
                </m:ctrlPr>
              </m:accPr>
              <m:e>
                <m:r>
                  <w:rPr>
                    <w:rFonts w:ascii="Cambria Math" w:hAnsi="Cambria Math" w:cs="Arial"/>
                  </w:rPr>
                  <m:t>E</m:t>
                </m:r>
              </m:e>
            </m:acc>
          </m:e>
          <m:sup>
            <m:r>
              <w:rPr>
                <w:rFonts w:ascii="Cambria Math" w:hAnsi="Cambria Math" w:cs="Arial"/>
              </w:rPr>
              <m:t>i</m:t>
            </m:r>
          </m:sup>
        </m:sSup>
      </m:oMath>
      <w:r w:rsidRPr="0080460B">
        <w:rPr>
          <w:rFonts w:ascii="Arial" w:hAnsi="Arial" w:cs="Arial"/>
        </w:rPr>
        <w:t xml:space="preserve"> réalisée: </w:t>
      </w:r>
    </w:p>
    <w:p w:rsidR="0080460B" w:rsidRPr="0080460B" w:rsidRDefault="0080460B" w:rsidP="0080460B">
      <w:pPr>
        <w:jc w:val="both"/>
        <w:rPr>
          <w:rFonts w:ascii="Arial" w:hAnsi="Arial" w:cs="Arial"/>
        </w:rPr>
      </w:pPr>
      <m:oMathPara>
        <m:oMath>
          <m:r>
            <m:rPr>
              <m:nor/>
            </m:rPr>
            <w:rPr>
              <w:rFonts w:ascii="Arial" w:hAnsi="Arial" w:cs="Arial"/>
              <w:sz w:val="22"/>
            </w:rPr>
            <m:t xml:space="preserve">Si </m:t>
          </m:r>
          <m:d>
            <m:dPr>
              <m:begChr m:val="|"/>
              <m:endChr m:val="|"/>
              <m:ctrlPr>
                <w:rPr>
                  <w:rFonts w:ascii="Cambria Math" w:hAnsi="Cambria Math" w:cs="Arial"/>
                  <w:i/>
                  <w:sz w:val="22"/>
                </w:rPr>
              </m:ctrlPr>
            </m:dPr>
            <m:e>
              <m:f>
                <m:fPr>
                  <m:ctrlPr>
                    <w:rPr>
                      <w:rFonts w:ascii="Cambria Math" w:hAnsi="Cambria Math" w:cs="Arial"/>
                      <w:i/>
                      <w:sz w:val="22"/>
                    </w:rPr>
                  </m:ctrlPr>
                </m:fPr>
                <m:num>
                  <m:sSubSup>
                    <m:sSubSupPr>
                      <m:ctrlPr>
                        <w:rPr>
                          <w:rFonts w:ascii="Cambria Math" w:hAnsi="Cambria Math" w:cs="Arial"/>
                          <w:i/>
                          <w:sz w:val="22"/>
                        </w:rPr>
                      </m:ctrlPr>
                    </m:sSubSupPr>
                    <m:e>
                      <m:acc>
                        <m:accPr>
                          <m:ctrlPr>
                            <w:rPr>
                              <w:rFonts w:ascii="Cambria Math" w:hAnsi="Cambria Math" w:cs="Arial"/>
                              <w:i/>
                              <w:sz w:val="22"/>
                            </w:rPr>
                          </m:ctrlPr>
                        </m:accPr>
                        <m:e>
                          <m:r>
                            <w:rPr>
                              <w:rFonts w:ascii="Cambria Math" w:hAnsi="Cambria Math" w:cs="Arial"/>
                              <w:sz w:val="22"/>
                            </w:rPr>
                            <m:t>E</m:t>
                          </m:r>
                        </m:e>
                      </m:acc>
                    </m:e>
                    <m:sub>
                      <m:r>
                        <w:rPr>
                          <w:rFonts w:ascii="Cambria Math" w:hAnsi="Cambria Math" w:cs="Arial"/>
                          <w:sz w:val="22"/>
                        </w:rPr>
                        <m:t>N-1, base 2014</m:t>
                      </m:r>
                    </m:sub>
                    <m:sup>
                      <m:r>
                        <w:rPr>
                          <w:rFonts w:ascii="Cambria Math" w:hAnsi="Cambria Math" w:cs="Arial"/>
                          <w:sz w:val="22"/>
                        </w:rPr>
                        <m:t>i</m:t>
                      </m:r>
                    </m:sup>
                  </m:sSubSup>
                  <m:r>
                    <w:rPr>
                      <w:rFonts w:ascii="Cambria Math" w:hAnsi="Cambria Math" w:cs="Arial"/>
                      <w:sz w:val="22"/>
                    </w:rPr>
                    <m:t>-</m:t>
                  </m:r>
                  <m:sSubSup>
                    <m:sSubSupPr>
                      <m:ctrlPr>
                        <w:rPr>
                          <w:rFonts w:ascii="Cambria Math" w:hAnsi="Cambria Math" w:cs="Arial"/>
                          <w:i/>
                          <w:sz w:val="22"/>
                        </w:rPr>
                      </m:ctrlPr>
                    </m:sSubSupPr>
                    <m:e>
                      <m:r>
                        <w:rPr>
                          <w:rFonts w:ascii="Cambria Math" w:hAnsi="Cambria Math" w:cs="Arial"/>
                          <w:sz w:val="22"/>
                        </w:rPr>
                        <m:t>E</m:t>
                      </m:r>
                    </m:e>
                    <m:sub>
                      <m:r>
                        <w:rPr>
                          <w:rFonts w:ascii="Cambria Math" w:hAnsi="Cambria Math" w:cs="Arial"/>
                          <w:sz w:val="22"/>
                        </w:rPr>
                        <m:t>N-1, base 2000</m:t>
                      </m:r>
                    </m:sub>
                    <m:sup>
                      <m:r>
                        <w:rPr>
                          <w:rFonts w:ascii="Cambria Math" w:hAnsi="Cambria Math" w:cs="Arial"/>
                          <w:sz w:val="22"/>
                        </w:rPr>
                        <m:t>i</m:t>
                      </m:r>
                    </m:sup>
                  </m:sSubSup>
                </m:num>
                <m:den>
                  <m:sSubSup>
                    <m:sSubSupPr>
                      <m:ctrlPr>
                        <w:rPr>
                          <w:rFonts w:ascii="Cambria Math" w:hAnsi="Cambria Math" w:cs="Arial"/>
                          <w:i/>
                          <w:sz w:val="22"/>
                        </w:rPr>
                      </m:ctrlPr>
                    </m:sSubSupPr>
                    <m:e>
                      <m:r>
                        <w:rPr>
                          <w:rFonts w:ascii="Cambria Math" w:hAnsi="Cambria Math" w:cs="Arial"/>
                          <w:sz w:val="22"/>
                        </w:rPr>
                        <m:t>E</m:t>
                      </m:r>
                    </m:e>
                    <m:sub>
                      <m:r>
                        <w:rPr>
                          <w:rFonts w:ascii="Cambria Math" w:hAnsi="Cambria Math" w:cs="Arial"/>
                          <w:sz w:val="22"/>
                        </w:rPr>
                        <m:t>N-1, base 2000</m:t>
                      </m:r>
                    </m:sub>
                    <m:sup>
                      <m:r>
                        <w:rPr>
                          <w:rFonts w:ascii="Cambria Math" w:hAnsi="Cambria Math" w:cs="Arial"/>
                          <w:sz w:val="22"/>
                        </w:rPr>
                        <m:t>i</m:t>
                      </m:r>
                    </m:sup>
                  </m:sSubSup>
                </m:den>
              </m:f>
            </m:e>
          </m:d>
          <m:r>
            <w:rPr>
              <w:rFonts w:ascii="Cambria Math" w:hAnsi="Cambria Math" w:cs="Arial"/>
              <w:sz w:val="22"/>
            </w:rPr>
            <m:t>&lt;</m:t>
          </m:r>
          <m:r>
            <m:rPr>
              <m:sty m:val="p"/>
            </m:rPr>
            <w:rPr>
              <w:rFonts w:ascii="Cambria Math" w:hAnsi="Cambria Math" w:cs="Arial"/>
              <w:sz w:val="22"/>
            </w:rPr>
            <m:t>Δ</m:t>
          </m:r>
          <m:r>
            <m:rPr>
              <m:nor/>
            </m:rPr>
            <w:rPr>
              <w:rFonts w:ascii="Arial" w:hAnsi="Arial" w:cs="Arial"/>
              <w:sz w:val="22"/>
            </w:rPr>
            <m:t xml:space="preserve">, alors </m:t>
          </m:r>
          <m:sSubSup>
            <m:sSubSupPr>
              <m:ctrlPr>
                <w:rPr>
                  <w:rFonts w:ascii="Cambria Math" w:hAnsi="Cambria Math" w:cs="Arial"/>
                  <w:i/>
                  <w:sz w:val="22"/>
                </w:rPr>
              </m:ctrlPr>
            </m:sSubSupPr>
            <m:e>
              <m:r>
                <w:rPr>
                  <w:rFonts w:ascii="Cambria Math" w:hAnsi="Cambria Math" w:cs="Arial"/>
                  <w:sz w:val="22"/>
                </w:rPr>
                <m:t>E</m:t>
              </m:r>
            </m:e>
            <m:sub>
              <m:r>
                <w:rPr>
                  <w:rFonts w:ascii="Cambria Math" w:hAnsi="Cambria Math" w:cs="Arial"/>
                  <w:sz w:val="22"/>
                </w:rPr>
                <m:t>N-1, base 2014</m:t>
              </m:r>
            </m:sub>
            <m:sup>
              <m:r>
                <w:rPr>
                  <w:rFonts w:ascii="Cambria Math" w:hAnsi="Cambria Math" w:cs="Arial"/>
                  <w:sz w:val="22"/>
                </w:rPr>
                <m:t>i</m:t>
              </m:r>
            </m:sup>
          </m:sSubSup>
          <m:r>
            <w:rPr>
              <w:rFonts w:ascii="Cambria Math" w:hAnsi="Cambria Math" w:cs="Arial"/>
              <w:sz w:val="22"/>
            </w:rPr>
            <m:t>=</m:t>
          </m:r>
          <m:sSubSup>
            <m:sSubSupPr>
              <m:ctrlPr>
                <w:rPr>
                  <w:rFonts w:ascii="Cambria Math" w:hAnsi="Cambria Math" w:cs="Arial"/>
                  <w:i/>
                  <w:sz w:val="22"/>
                </w:rPr>
              </m:ctrlPr>
            </m:sSubSupPr>
            <m:e>
              <m:acc>
                <m:accPr>
                  <m:ctrlPr>
                    <w:rPr>
                      <w:rFonts w:ascii="Cambria Math" w:hAnsi="Cambria Math" w:cs="Arial"/>
                      <w:i/>
                      <w:sz w:val="22"/>
                    </w:rPr>
                  </m:ctrlPr>
                </m:accPr>
                <m:e>
                  <m:r>
                    <w:rPr>
                      <w:rFonts w:ascii="Cambria Math" w:hAnsi="Cambria Math" w:cs="Arial"/>
                      <w:sz w:val="22"/>
                    </w:rPr>
                    <m:t>E</m:t>
                  </m:r>
                </m:e>
              </m:acc>
            </m:e>
            <m:sub>
              <m:r>
                <w:rPr>
                  <w:rFonts w:ascii="Cambria Math" w:hAnsi="Cambria Math" w:cs="Arial"/>
                  <w:sz w:val="22"/>
                </w:rPr>
                <m:t>N-1, base 2014</m:t>
              </m:r>
            </m:sub>
            <m:sup>
              <m:r>
                <w:rPr>
                  <w:rFonts w:ascii="Cambria Math" w:hAnsi="Cambria Math" w:cs="Arial"/>
                  <w:sz w:val="22"/>
                </w:rPr>
                <m:t>i</m:t>
              </m:r>
            </m:sup>
          </m:sSubSup>
        </m:oMath>
      </m:oMathPara>
    </w:p>
    <w:p w:rsidR="0080460B" w:rsidRPr="0080460B" w:rsidRDefault="0080460B" w:rsidP="0080460B">
      <w:pPr>
        <w:jc w:val="both"/>
        <w:rPr>
          <w:rFonts w:ascii="Arial" w:hAnsi="Arial" w:cs="Arial"/>
        </w:rPr>
      </w:pPr>
      <w:r w:rsidRPr="0080460B">
        <w:rPr>
          <w:rFonts w:ascii="Arial" w:hAnsi="Arial" w:cs="Arial"/>
        </w:rPr>
        <w:t>Par la suite, on qualifiera ces séries de « figées ».</w:t>
      </w:r>
    </w:p>
    <w:p w:rsidR="0080460B" w:rsidRPr="0080460B" w:rsidRDefault="0080460B" w:rsidP="0080460B">
      <w:pPr>
        <w:jc w:val="both"/>
        <w:rPr>
          <w:rFonts w:ascii="Arial" w:hAnsi="Arial" w:cs="Arial"/>
        </w:rPr>
      </w:pPr>
    </w:p>
    <w:p w:rsidR="0080460B" w:rsidRPr="0080460B" w:rsidRDefault="0080460B" w:rsidP="0080460B">
      <w:pPr>
        <w:numPr>
          <w:ilvl w:val="0"/>
          <w:numId w:val="35"/>
        </w:numPr>
        <w:jc w:val="both"/>
        <w:rPr>
          <w:rFonts w:ascii="Arial" w:hAnsi="Arial" w:cs="Arial"/>
        </w:rPr>
      </w:pPr>
      <w:r w:rsidRPr="0080460B">
        <w:rPr>
          <w:rFonts w:ascii="Arial" w:hAnsi="Arial" w:cs="Arial"/>
        </w:rPr>
        <w:t xml:space="preserve">Au contraire, si la série est plus éloignée de la valeur initiale en base 2000 (ou, dit autrement, si l’écart relatif est supérieur au seuil Δ que l’on vient de présenter), alors on va se permettre de la modifier afin d’assurer une cohérence entre le total actif ou passif et la somme des instruments composant ce total. </w:t>
      </w:r>
    </w:p>
    <w:p w:rsidR="0080460B" w:rsidRPr="0080460B" w:rsidRDefault="0080460B" w:rsidP="0080460B">
      <w:pPr>
        <w:jc w:val="both"/>
        <w:rPr>
          <w:rFonts w:ascii="Arial" w:hAnsi="Arial" w:cs="Arial"/>
        </w:rPr>
      </w:pPr>
      <w:r w:rsidRPr="0080460B">
        <w:rPr>
          <w:rFonts w:ascii="Arial" w:hAnsi="Arial" w:cs="Arial"/>
        </w:rPr>
        <w:t xml:space="preserve">Pour cela, on va comparer l’écart entre le total et la somme des secteurs composantes déjà figés. </w:t>
      </w:r>
      <m:oMath>
        <m:sSubSup>
          <m:sSubSupPr>
            <m:ctrlPr>
              <w:rPr>
                <w:rFonts w:ascii="Cambria Math" w:hAnsi="Cambria Math" w:cs="Arial"/>
                <w:i/>
                <w:sz w:val="22"/>
              </w:rPr>
            </m:ctrlPr>
          </m:sSubSupPr>
          <m:e>
            <m:r>
              <w:rPr>
                <w:rFonts w:ascii="Cambria Math" w:hAnsi="Cambria Math" w:cs="Arial"/>
                <w:sz w:val="22"/>
              </w:rPr>
              <m:t>E</m:t>
            </m:r>
          </m:e>
          <m:sub>
            <m:r>
              <w:rPr>
                <w:rFonts w:ascii="Cambria Math" w:hAnsi="Cambria Math" w:cs="Arial"/>
                <w:sz w:val="22"/>
              </w:rPr>
              <m:t>N-1</m:t>
            </m:r>
          </m:sub>
          <m:sup>
            <m:r>
              <w:rPr>
                <w:rFonts w:ascii="Cambria Math" w:hAnsi="Cambria Math" w:cs="Arial"/>
                <w:sz w:val="22"/>
              </w:rPr>
              <m:t>total</m:t>
            </m:r>
          </m:sup>
        </m:sSubSup>
        <m:r>
          <w:rPr>
            <w:rFonts w:ascii="Cambria Math" w:hAnsi="Cambria Math" w:cs="Arial"/>
            <w:sz w:val="22"/>
          </w:rPr>
          <m:t>-</m:t>
        </m:r>
        <m:nary>
          <m:naryPr>
            <m:chr m:val="∑"/>
            <m:limLoc m:val="undOvr"/>
            <m:supHide m:val="1"/>
            <m:ctrlPr>
              <w:rPr>
                <w:rFonts w:ascii="Cambria Math" w:hAnsi="Cambria Math" w:cs="Arial"/>
                <w:i/>
                <w:sz w:val="22"/>
              </w:rPr>
            </m:ctrlPr>
          </m:naryPr>
          <m:sub>
            <m:r>
              <w:rPr>
                <w:rFonts w:ascii="Cambria Math" w:hAnsi="Cambria Math" w:cs="Arial"/>
                <w:sz w:val="22"/>
              </w:rPr>
              <m:t>i figés</m:t>
            </m:r>
          </m:sub>
          <m:sup/>
          <m:e>
            <m:sSubSup>
              <m:sSubSupPr>
                <m:ctrlPr>
                  <w:rPr>
                    <w:rFonts w:ascii="Cambria Math" w:hAnsi="Cambria Math" w:cs="Arial"/>
                    <w:i/>
                    <w:sz w:val="22"/>
                  </w:rPr>
                </m:ctrlPr>
              </m:sSubSupPr>
              <m:e>
                <m:acc>
                  <m:accPr>
                    <m:ctrlPr>
                      <w:rPr>
                        <w:rFonts w:ascii="Cambria Math" w:hAnsi="Cambria Math" w:cs="Arial"/>
                        <w:i/>
                        <w:sz w:val="22"/>
                      </w:rPr>
                    </m:ctrlPr>
                  </m:accPr>
                  <m:e>
                    <m:r>
                      <w:rPr>
                        <w:rFonts w:ascii="Cambria Math" w:hAnsi="Cambria Math" w:cs="Arial"/>
                        <w:sz w:val="22"/>
                      </w:rPr>
                      <m:t>E</m:t>
                    </m:r>
                  </m:e>
                </m:acc>
              </m:e>
              <m:sub>
                <m:r>
                  <w:rPr>
                    <w:rFonts w:ascii="Cambria Math" w:hAnsi="Cambria Math" w:cs="Arial"/>
                    <w:sz w:val="22"/>
                  </w:rPr>
                  <m:t>N-1, base 2014</m:t>
                </m:r>
              </m:sub>
              <m:sup>
                <m:r>
                  <w:rPr>
                    <w:rFonts w:ascii="Cambria Math" w:hAnsi="Cambria Math" w:cs="Arial"/>
                    <w:sz w:val="22"/>
                  </w:rPr>
                  <m:t>i</m:t>
                </m:r>
              </m:sup>
            </m:sSubSup>
          </m:e>
        </m:nary>
      </m:oMath>
      <w:r w:rsidRPr="0080460B">
        <w:rPr>
          <w:rFonts w:ascii="Arial" w:hAnsi="Arial" w:cs="Arial"/>
        </w:rPr>
        <w:t xml:space="preserve"> avec la somme spontanée des secteurs non figés </w:t>
      </w:r>
      <m:oMath>
        <m:nary>
          <m:naryPr>
            <m:chr m:val="∑"/>
            <m:limLoc m:val="undOvr"/>
            <m:supHide m:val="1"/>
            <m:ctrlPr>
              <w:rPr>
                <w:rFonts w:ascii="Cambria Math" w:hAnsi="Cambria Math" w:cs="Arial"/>
                <w:i/>
              </w:rPr>
            </m:ctrlPr>
          </m:naryPr>
          <m:sub>
            <m:r>
              <w:rPr>
                <w:rFonts w:ascii="Cambria Math" w:hAnsi="Cambria Math" w:cs="Arial"/>
              </w:rPr>
              <m:t>j non figés</m:t>
            </m:r>
          </m:sub>
          <m:sup/>
          <m:e>
            <m:sSubSup>
              <m:sSubSupPr>
                <m:ctrlPr>
                  <w:rPr>
                    <w:rFonts w:ascii="Cambria Math" w:hAnsi="Cambria Math" w:cs="Arial"/>
                    <w:i/>
                  </w:rPr>
                </m:ctrlPr>
              </m:sSubSupPr>
              <m:e>
                <m:acc>
                  <m:accPr>
                    <m:ctrlPr>
                      <w:rPr>
                        <w:rFonts w:ascii="Cambria Math" w:hAnsi="Cambria Math" w:cs="Arial"/>
                        <w:i/>
                      </w:rPr>
                    </m:ctrlPr>
                  </m:accPr>
                  <m:e>
                    <m:r>
                      <w:rPr>
                        <w:rFonts w:ascii="Cambria Math" w:hAnsi="Cambria Math" w:cs="Arial"/>
                      </w:rPr>
                      <m:t>E</m:t>
                    </m:r>
                  </m:e>
                </m:acc>
              </m:e>
              <m:sub>
                <m:r>
                  <w:rPr>
                    <w:rFonts w:ascii="Cambria Math" w:hAnsi="Cambria Math" w:cs="Arial"/>
                  </w:rPr>
                  <m:t>N-1, base 2014</m:t>
                </m:r>
              </m:sub>
              <m:sup>
                <m:r>
                  <w:rPr>
                    <w:rFonts w:ascii="Cambria Math" w:hAnsi="Cambria Math" w:cs="Arial"/>
                  </w:rPr>
                  <m:t>j</m:t>
                </m:r>
              </m:sup>
            </m:sSubSup>
          </m:e>
        </m:nary>
      </m:oMath>
      <w:r w:rsidRPr="0080460B">
        <w:rPr>
          <w:rFonts w:ascii="Arial" w:hAnsi="Arial" w:cs="Arial"/>
        </w:rPr>
        <w:t xml:space="preserve">. Le rapport entre ces deux valeurs nous donne un ratio de correction à appliquer aux secteurs non figés pour avoir la valeur </w:t>
      </w:r>
      <m:oMath>
        <m:sSup>
          <m:sSupPr>
            <m:ctrlPr>
              <w:rPr>
                <w:rFonts w:ascii="Cambria Math" w:hAnsi="Cambria Math" w:cs="Arial"/>
                <w:i/>
              </w:rPr>
            </m:ctrlPr>
          </m:sSupPr>
          <m:e>
            <m:r>
              <w:rPr>
                <w:rFonts w:ascii="Cambria Math" w:hAnsi="Cambria Math" w:cs="Arial"/>
              </w:rPr>
              <m:t>E</m:t>
            </m:r>
          </m:e>
          <m:sup>
            <m:r>
              <w:rPr>
                <w:rFonts w:ascii="Cambria Math" w:hAnsi="Cambria Math" w:cs="Arial"/>
              </w:rPr>
              <m:t>j</m:t>
            </m:r>
          </m:sup>
        </m:sSup>
      </m:oMath>
      <w:r w:rsidRPr="0080460B">
        <w:rPr>
          <w:rFonts w:ascii="Arial" w:hAnsi="Arial" w:cs="Arial"/>
        </w:rPr>
        <w:t xml:space="preserve"> finale</w:t>
      </w:r>
    </w:p>
    <w:p w:rsidR="0080460B" w:rsidRPr="0080460B" w:rsidRDefault="00D94F51" w:rsidP="0080460B">
      <w:pPr>
        <w:jc w:val="both"/>
        <w:rPr>
          <w:rFonts w:ascii="Arial" w:hAnsi="Arial" w:cs="Arial"/>
        </w:rPr>
      </w:pPr>
      <m:oMathPara>
        <m:oMath>
          <m:sSubSup>
            <m:sSubSupPr>
              <m:ctrlPr>
                <w:rPr>
                  <w:rFonts w:ascii="Cambria Math" w:hAnsi="Cambria Math" w:cs="Arial"/>
                  <w:i/>
                  <w:sz w:val="22"/>
                </w:rPr>
              </m:ctrlPr>
            </m:sSubSupPr>
            <m:e>
              <m:r>
                <w:rPr>
                  <w:rFonts w:ascii="Cambria Math" w:hAnsi="Cambria Math" w:cs="Arial"/>
                  <w:sz w:val="22"/>
                </w:rPr>
                <m:t>E</m:t>
              </m:r>
            </m:e>
            <m:sub>
              <m:r>
                <w:rPr>
                  <w:rFonts w:ascii="Cambria Math" w:hAnsi="Cambria Math" w:cs="Arial"/>
                  <w:sz w:val="22"/>
                </w:rPr>
                <m:t>N-1, base 2014</m:t>
              </m:r>
            </m:sub>
            <m:sup>
              <m:r>
                <w:rPr>
                  <w:rFonts w:ascii="Cambria Math" w:hAnsi="Cambria Math" w:cs="Arial"/>
                  <w:sz w:val="22"/>
                </w:rPr>
                <m:t>j</m:t>
              </m:r>
            </m:sup>
          </m:sSubSup>
          <m:r>
            <w:rPr>
              <w:rFonts w:ascii="Cambria Math" w:hAnsi="Cambria Math" w:cs="Arial"/>
              <w:sz w:val="22"/>
            </w:rPr>
            <m:t>=</m:t>
          </m:r>
          <m:sSubSup>
            <m:sSubSupPr>
              <m:ctrlPr>
                <w:rPr>
                  <w:rFonts w:ascii="Cambria Math" w:hAnsi="Cambria Math" w:cs="Arial"/>
                  <w:i/>
                  <w:sz w:val="22"/>
                </w:rPr>
              </m:ctrlPr>
            </m:sSubSupPr>
            <m:e>
              <m:acc>
                <m:accPr>
                  <m:ctrlPr>
                    <w:rPr>
                      <w:rFonts w:ascii="Cambria Math" w:hAnsi="Cambria Math" w:cs="Arial"/>
                      <w:i/>
                      <w:sz w:val="22"/>
                    </w:rPr>
                  </m:ctrlPr>
                </m:accPr>
                <m:e>
                  <m:r>
                    <w:rPr>
                      <w:rFonts w:ascii="Cambria Math" w:hAnsi="Cambria Math" w:cs="Arial"/>
                      <w:sz w:val="22"/>
                    </w:rPr>
                    <m:t>E</m:t>
                  </m:r>
                </m:e>
              </m:acc>
            </m:e>
            <m:sub>
              <m:r>
                <w:rPr>
                  <w:rFonts w:ascii="Cambria Math" w:hAnsi="Cambria Math" w:cs="Arial"/>
                  <w:sz w:val="22"/>
                </w:rPr>
                <m:t>N-1, base 2014</m:t>
              </m:r>
            </m:sub>
            <m:sup>
              <m:r>
                <w:rPr>
                  <w:rFonts w:ascii="Cambria Math" w:hAnsi="Cambria Math" w:cs="Arial"/>
                  <w:sz w:val="22"/>
                </w:rPr>
                <m:t>j</m:t>
              </m:r>
            </m:sup>
          </m:sSubSup>
          <m:r>
            <w:rPr>
              <w:rFonts w:ascii="Cambria Math" w:hAnsi="Cambria Math" w:cs="Arial"/>
              <w:sz w:val="22"/>
            </w:rPr>
            <m:t xml:space="preserve">* </m:t>
          </m:r>
          <m:f>
            <m:fPr>
              <m:ctrlPr>
                <w:rPr>
                  <w:rFonts w:ascii="Cambria Math" w:hAnsi="Cambria Math" w:cs="Arial"/>
                  <w:i/>
                  <w:sz w:val="22"/>
                </w:rPr>
              </m:ctrlPr>
            </m:fPr>
            <m:num>
              <m:sSubSup>
                <m:sSubSupPr>
                  <m:ctrlPr>
                    <w:rPr>
                      <w:rFonts w:ascii="Cambria Math" w:hAnsi="Cambria Math" w:cs="Arial"/>
                      <w:i/>
                      <w:sz w:val="22"/>
                    </w:rPr>
                  </m:ctrlPr>
                </m:sSubSupPr>
                <m:e>
                  <m:r>
                    <w:rPr>
                      <w:rFonts w:ascii="Cambria Math" w:hAnsi="Cambria Math" w:cs="Arial"/>
                      <w:sz w:val="22"/>
                    </w:rPr>
                    <m:t>E</m:t>
                  </m:r>
                </m:e>
                <m:sub>
                  <m:r>
                    <w:rPr>
                      <w:rFonts w:ascii="Cambria Math" w:hAnsi="Cambria Math" w:cs="Arial"/>
                      <w:sz w:val="22"/>
                    </w:rPr>
                    <m:t>N-1,base 2014</m:t>
                  </m:r>
                </m:sub>
                <m:sup>
                  <m:r>
                    <w:rPr>
                      <w:rFonts w:ascii="Cambria Math" w:hAnsi="Cambria Math" w:cs="Arial"/>
                      <w:sz w:val="22"/>
                    </w:rPr>
                    <m:t>total</m:t>
                  </m:r>
                </m:sup>
              </m:sSubSup>
              <m:r>
                <w:rPr>
                  <w:rFonts w:ascii="Cambria Math" w:hAnsi="Cambria Math" w:cs="Arial"/>
                  <w:sz w:val="22"/>
                </w:rPr>
                <m:t>-</m:t>
              </m:r>
              <m:nary>
                <m:naryPr>
                  <m:chr m:val="∑"/>
                  <m:limLoc m:val="undOvr"/>
                  <m:supHide m:val="1"/>
                  <m:ctrlPr>
                    <w:rPr>
                      <w:rFonts w:ascii="Cambria Math" w:hAnsi="Cambria Math" w:cs="Arial"/>
                      <w:i/>
                      <w:sz w:val="22"/>
                    </w:rPr>
                  </m:ctrlPr>
                </m:naryPr>
                <m:sub>
                  <m:r>
                    <w:rPr>
                      <w:rFonts w:ascii="Cambria Math" w:hAnsi="Cambria Math" w:cs="Arial"/>
                      <w:sz w:val="22"/>
                    </w:rPr>
                    <m:t>i figés</m:t>
                  </m:r>
                </m:sub>
                <m:sup/>
                <m:e>
                  <m:sSubSup>
                    <m:sSubSupPr>
                      <m:ctrlPr>
                        <w:rPr>
                          <w:rFonts w:ascii="Cambria Math" w:hAnsi="Cambria Math" w:cs="Arial"/>
                          <w:i/>
                          <w:sz w:val="22"/>
                        </w:rPr>
                      </m:ctrlPr>
                    </m:sSubSupPr>
                    <m:e>
                      <m:acc>
                        <m:accPr>
                          <m:ctrlPr>
                            <w:rPr>
                              <w:rFonts w:ascii="Cambria Math" w:hAnsi="Cambria Math" w:cs="Arial"/>
                              <w:i/>
                              <w:sz w:val="22"/>
                            </w:rPr>
                          </m:ctrlPr>
                        </m:accPr>
                        <m:e>
                          <m:r>
                            <w:rPr>
                              <w:rFonts w:ascii="Cambria Math" w:hAnsi="Cambria Math" w:cs="Arial"/>
                              <w:sz w:val="22"/>
                            </w:rPr>
                            <m:t>E</m:t>
                          </m:r>
                        </m:e>
                      </m:acc>
                    </m:e>
                    <m:sub>
                      <m:r>
                        <w:rPr>
                          <w:rFonts w:ascii="Cambria Math" w:hAnsi="Cambria Math" w:cs="Arial"/>
                          <w:sz w:val="22"/>
                        </w:rPr>
                        <m:t>N-1, base 2014</m:t>
                      </m:r>
                    </m:sub>
                    <m:sup>
                      <m:r>
                        <w:rPr>
                          <w:rFonts w:ascii="Cambria Math" w:hAnsi="Cambria Math" w:cs="Arial"/>
                          <w:sz w:val="22"/>
                        </w:rPr>
                        <m:t>i</m:t>
                      </m:r>
                    </m:sup>
                  </m:sSubSup>
                </m:e>
              </m:nary>
            </m:num>
            <m:den>
              <m:nary>
                <m:naryPr>
                  <m:chr m:val="∑"/>
                  <m:limLoc m:val="undOvr"/>
                  <m:supHide m:val="1"/>
                  <m:ctrlPr>
                    <w:rPr>
                      <w:rFonts w:ascii="Cambria Math" w:hAnsi="Cambria Math" w:cs="Arial"/>
                      <w:i/>
                      <w:sz w:val="22"/>
                    </w:rPr>
                  </m:ctrlPr>
                </m:naryPr>
                <m:sub>
                  <m:r>
                    <w:rPr>
                      <w:rFonts w:ascii="Cambria Math" w:hAnsi="Cambria Math" w:cs="Arial"/>
                      <w:sz w:val="22"/>
                    </w:rPr>
                    <m:t>k non figés</m:t>
                  </m:r>
                </m:sub>
                <m:sup/>
                <m:e>
                  <m:sSubSup>
                    <m:sSubSupPr>
                      <m:ctrlPr>
                        <w:rPr>
                          <w:rFonts w:ascii="Cambria Math" w:hAnsi="Cambria Math" w:cs="Arial"/>
                          <w:i/>
                          <w:sz w:val="22"/>
                        </w:rPr>
                      </m:ctrlPr>
                    </m:sSubSupPr>
                    <m:e>
                      <m:acc>
                        <m:accPr>
                          <m:ctrlPr>
                            <w:rPr>
                              <w:rFonts w:ascii="Cambria Math" w:hAnsi="Cambria Math" w:cs="Arial"/>
                              <w:i/>
                              <w:sz w:val="22"/>
                            </w:rPr>
                          </m:ctrlPr>
                        </m:accPr>
                        <m:e>
                          <m:r>
                            <w:rPr>
                              <w:rFonts w:ascii="Cambria Math" w:hAnsi="Cambria Math" w:cs="Arial"/>
                              <w:sz w:val="22"/>
                            </w:rPr>
                            <m:t>E</m:t>
                          </m:r>
                        </m:e>
                      </m:acc>
                    </m:e>
                    <m:sub>
                      <m:r>
                        <w:rPr>
                          <w:rFonts w:ascii="Cambria Math" w:hAnsi="Cambria Math" w:cs="Arial"/>
                          <w:sz w:val="22"/>
                        </w:rPr>
                        <m:t>N-1, base 2014</m:t>
                      </m:r>
                    </m:sub>
                    <m:sup>
                      <m:r>
                        <w:rPr>
                          <w:rFonts w:ascii="Cambria Math" w:hAnsi="Cambria Math" w:cs="Arial"/>
                          <w:sz w:val="22"/>
                        </w:rPr>
                        <m:t>k</m:t>
                      </m:r>
                    </m:sup>
                  </m:sSubSup>
                </m:e>
              </m:nary>
            </m:den>
          </m:f>
        </m:oMath>
      </m:oMathPara>
    </w:p>
    <w:p w:rsidR="0080460B" w:rsidRPr="0080460B" w:rsidRDefault="0080460B" w:rsidP="0080460B">
      <w:pPr>
        <w:jc w:val="both"/>
        <w:rPr>
          <w:rFonts w:ascii="Arial" w:hAnsi="Arial" w:cs="Arial"/>
        </w:rPr>
      </w:pPr>
      <w:r w:rsidRPr="0080460B">
        <w:rPr>
          <w:rFonts w:ascii="Arial" w:hAnsi="Arial" w:cs="Arial"/>
        </w:rPr>
        <w:t>Au final, on applique ainsi une correction proportionnelle aux encours à tous les secteurs non figés. Cela permet de bien assurer que la somme des secteurs est égale au total précédemment calculé. L’exemple ci-dessous prolonge l’exemple donné précédemment en détaillant les étapes sur 2 instruments :</w:t>
      </w:r>
    </w:p>
    <w:p w:rsidR="0080460B" w:rsidRPr="0080460B" w:rsidRDefault="0080460B" w:rsidP="0080460B">
      <w:pPr>
        <w:jc w:val="both"/>
        <w:rPr>
          <w:rFonts w:ascii="Arial" w:hAnsi="Arial" w:cs="Arial"/>
        </w:rPr>
      </w:pPr>
      <w:r w:rsidRPr="0080460B">
        <w:rPr>
          <w:rFonts w:ascii="Arial" w:hAnsi="Arial" w:cs="Arial"/>
          <w:noProof/>
        </w:rPr>
        <w:drawing>
          <wp:inline distT="0" distB="0" distL="0" distR="0" wp14:anchorId="456D33E4" wp14:editId="096C94AA">
            <wp:extent cx="5600000" cy="2742857"/>
            <wp:effectExtent l="0" t="0" r="127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00000" cy="2742857"/>
                    </a:xfrm>
                    <a:prstGeom prst="rect">
                      <a:avLst/>
                    </a:prstGeom>
                  </pic:spPr>
                </pic:pic>
              </a:graphicData>
            </a:graphic>
          </wp:inline>
        </w:drawing>
      </w:r>
    </w:p>
    <w:p w:rsidR="0080460B" w:rsidRPr="0080460B" w:rsidRDefault="0080460B" w:rsidP="0080460B">
      <w:pPr>
        <w:jc w:val="both"/>
        <w:rPr>
          <w:rFonts w:ascii="Arial" w:hAnsi="Arial" w:cs="Arial"/>
          <w:i/>
          <w:iCs/>
        </w:rPr>
      </w:pPr>
      <w:r w:rsidRPr="0080460B">
        <w:rPr>
          <w:rFonts w:ascii="Arial" w:hAnsi="Arial" w:cs="Arial"/>
          <w:i/>
          <w:iCs/>
        </w:rPr>
        <w:t xml:space="preserve">Figure </w:t>
      </w:r>
      <w:r w:rsidRPr="0080460B">
        <w:rPr>
          <w:rFonts w:ascii="Arial" w:hAnsi="Arial" w:cs="Arial"/>
          <w:i/>
          <w:iCs/>
        </w:rPr>
        <w:fldChar w:fldCharType="begin"/>
      </w:r>
      <w:r w:rsidRPr="0080460B">
        <w:rPr>
          <w:rFonts w:ascii="Arial" w:hAnsi="Arial" w:cs="Arial"/>
          <w:i/>
          <w:iCs/>
        </w:rPr>
        <w:instrText xml:space="preserve"> SEQ Figure \* ARABIC </w:instrText>
      </w:r>
      <w:r w:rsidRPr="0080460B">
        <w:rPr>
          <w:rFonts w:ascii="Arial" w:hAnsi="Arial" w:cs="Arial"/>
          <w:i/>
          <w:iCs/>
        </w:rPr>
        <w:fldChar w:fldCharType="separate"/>
      </w:r>
      <w:r w:rsidRPr="0080460B">
        <w:rPr>
          <w:rFonts w:ascii="Arial" w:hAnsi="Arial" w:cs="Arial"/>
          <w:i/>
          <w:iCs/>
        </w:rPr>
        <w:t>2</w:t>
      </w:r>
      <w:r w:rsidRPr="0080460B">
        <w:rPr>
          <w:rFonts w:ascii="Arial" w:hAnsi="Arial" w:cs="Arial"/>
        </w:rPr>
        <w:fldChar w:fldCharType="end"/>
      </w:r>
      <w:r w:rsidRPr="0080460B">
        <w:rPr>
          <w:rFonts w:ascii="Arial" w:hAnsi="Arial" w:cs="Arial"/>
          <w:i/>
          <w:iCs/>
        </w:rPr>
        <w:t> : Illustration de l’ajustement lorsqu’on fige les totaux actifs et passifs et les instruments n’étant que peu ou pas modifiés.</w:t>
      </w:r>
    </w:p>
    <w:p w:rsidR="0080460B" w:rsidRPr="0080460B" w:rsidRDefault="0080460B" w:rsidP="0080460B">
      <w:pPr>
        <w:jc w:val="both"/>
        <w:rPr>
          <w:rFonts w:ascii="Arial" w:hAnsi="Arial" w:cs="Arial"/>
        </w:rPr>
      </w:pPr>
    </w:p>
    <w:p w:rsidR="0080460B" w:rsidRPr="0080460B" w:rsidRDefault="0080460B" w:rsidP="0080460B">
      <w:pPr>
        <w:jc w:val="both"/>
        <w:rPr>
          <w:rFonts w:ascii="Arial" w:hAnsi="Arial" w:cs="Arial"/>
          <w:i/>
        </w:rPr>
      </w:pPr>
      <w:r w:rsidRPr="0080460B">
        <w:rPr>
          <w:rFonts w:ascii="Arial" w:hAnsi="Arial" w:cs="Arial"/>
        </w:rPr>
        <w:t>En pratique, nous avons retenu empiriquement un seuil Δ de 5% et les ratios d’ajustements sont très variables et vont de 0,02% à 8% avec une moyenne de 4,2%.</w:t>
      </w:r>
    </w:p>
    <w:p w:rsidR="00CE3E76" w:rsidRDefault="00CE3E76" w:rsidP="00CE3E76">
      <w:pPr>
        <w:jc w:val="both"/>
        <w:rPr>
          <w:sz w:val="22"/>
          <w:szCs w:val="22"/>
        </w:rPr>
      </w:pPr>
    </w:p>
    <w:p w:rsidR="0080460B" w:rsidRDefault="0080460B" w:rsidP="00CE3E76">
      <w:pPr>
        <w:jc w:val="both"/>
        <w:rPr>
          <w:sz w:val="22"/>
          <w:szCs w:val="22"/>
        </w:rPr>
      </w:pPr>
    </w:p>
    <w:p w:rsidR="0080460B" w:rsidRDefault="0080460B" w:rsidP="0080460B">
      <w:pPr>
        <w:keepNext/>
        <w:spacing w:before="240" w:after="120"/>
        <w:ind w:left="567" w:hanging="567"/>
        <w:outlineLvl w:val="3"/>
        <w:rPr>
          <w:rFonts w:ascii="Arial" w:hAnsi="Arial" w:cs="Arial"/>
          <w:color w:val="4F81BD" w:themeColor="accent1"/>
          <w:sz w:val="22"/>
          <w:szCs w:val="22"/>
        </w:rPr>
      </w:pPr>
      <w:r>
        <w:rPr>
          <w:rFonts w:ascii="Arial" w:hAnsi="Arial" w:cs="Arial"/>
          <w:color w:val="4F81BD" w:themeColor="accent1"/>
          <w:sz w:val="22"/>
          <w:szCs w:val="22"/>
        </w:rPr>
        <w:lastRenderedPageBreak/>
        <w:t>3</w:t>
      </w:r>
      <w:r w:rsidRPr="00CE3E76">
        <w:rPr>
          <w:rFonts w:ascii="Arial" w:hAnsi="Arial" w:cs="Arial"/>
          <w:color w:val="4F81BD" w:themeColor="accent1"/>
          <w:sz w:val="22"/>
          <w:szCs w:val="22"/>
        </w:rPr>
        <w:t>.</w:t>
      </w:r>
      <w:r>
        <w:rPr>
          <w:rFonts w:ascii="Arial" w:hAnsi="Arial" w:cs="Arial"/>
          <w:color w:val="4F81BD" w:themeColor="accent1"/>
          <w:sz w:val="22"/>
          <w:szCs w:val="22"/>
        </w:rPr>
        <w:t>2</w:t>
      </w:r>
      <w:r w:rsidRPr="00CE3E76">
        <w:rPr>
          <w:rFonts w:ascii="Arial" w:hAnsi="Arial" w:cs="Arial"/>
          <w:color w:val="4F81BD" w:themeColor="accent1"/>
          <w:sz w:val="22"/>
          <w:szCs w:val="22"/>
        </w:rPr>
        <w:t>.</w:t>
      </w:r>
      <w:r w:rsidRPr="00CE3E76">
        <w:rPr>
          <w:rFonts w:ascii="Arial" w:hAnsi="Arial" w:cs="Arial"/>
          <w:color w:val="4F81BD" w:themeColor="accent1"/>
          <w:sz w:val="22"/>
          <w:szCs w:val="22"/>
        </w:rPr>
        <w:tab/>
      </w:r>
      <w:r w:rsidRPr="0080460B">
        <w:rPr>
          <w:rFonts w:ascii="Arial" w:hAnsi="Arial" w:cs="Arial"/>
          <w:color w:val="4F81BD" w:themeColor="accent1"/>
          <w:sz w:val="22"/>
          <w:szCs w:val="22"/>
        </w:rPr>
        <w:t>Rétropolation des effets de valorisation</w:t>
      </w:r>
    </w:p>
    <w:p w:rsidR="0080460B" w:rsidRPr="00CE3E76" w:rsidRDefault="0080460B" w:rsidP="0080460B">
      <w:pPr>
        <w:keepNext/>
        <w:spacing w:before="240" w:after="120"/>
        <w:ind w:left="567" w:hanging="567"/>
        <w:outlineLvl w:val="3"/>
        <w:rPr>
          <w:rFonts w:ascii="Arial" w:hAnsi="Arial" w:cs="Arial"/>
          <w:color w:val="4F81BD" w:themeColor="accent1"/>
          <w:sz w:val="22"/>
          <w:szCs w:val="22"/>
        </w:rPr>
      </w:pPr>
    </w:p>
    <w:p w:rsidR="0080460B" w:rsidRPr="0080460B" w:rsidRDefault="0080460B" w:rsidP="0080460B">
      <w:pPr>
        <w:jc w:val="both"/>
        <w:rPr>
          <w:rFonts w:ascii="Arial" w:hAnsi="Arial" w:cs="Arial"/>
        </w:rPr>
      </w:pPr>
      <w:r w:rsidRPr="0080460B">
        <w:rPr>
          <w:rFonts w:ascii="Arial" w:hAnsi="Arial" w:cs="Arial"/>
        </w:rPr>
        <w:t>Pour les effets de valorisation, le choix a été fait de conserver le rapport entre flux de valorisation et encours en base 2000 et de l’appliquer en base 2014. Plus précisément, on calcule le flux de valorisation entre N-1 et N divisé par la moyenne des encours en N et N-1 :</w:t>
      </w:r>
    </w:p>
    <w:p w:rsidR="0080460B" w:rsidRPr="0080460B" w:rsidRDefault="00D94F51" w:rsidP="0080460B">
      <w:pPr>
        <w:jc w:val="both"/>
        <w:rPr>
          <w:sz w:val="22"/>
          <w:szCs w:val="22"/>
        </w:rPr>
      </w:pPr>
      <m:oMathPara>
        <m:oMath>
          <m:f>
            <m:fPr>
              <m:ctrlPr>
                <w:rPr>
                  <w:rFonts w:ascii="Cambria Math" w:hAnsi="Cambria Math"/>
                  <w:i/>
                  <w:sz w:val="24"/>
                  <w:szCs w:val="22"/>
                </w:rPr>
              </m:ctrlPr>
            </m:fPr>
            <m:num>
              <m:sSub>
                <m:sSubPr>
                  <m:ctrlPr>
                    <w:rPr>
                      <w:rFonts w:ascii="Cambria Math" w:hAnsi="Cambria Math"/>
                      <w:i/>
                      <w:sz w:val="24"/>
                      <w:szCs w:val="22"/>
                    </w:rPr>
                  </m:ctrlPr>
                </m:sSubPr>
                <m:e>
                  <m:r>
                    <w:rPr>
                      <w:rFonts w:ascii="Cambria Math" w:hAnsi="Cambria Math"/>
                      <w:sz w:val="24"/>
                      <w:szCs w:val="22"/>
                    </w:rPr>
                    <m:t>G</m:t>
                  </m:r>
                </m:e>
                <m:sub>
                  <m:r>
                    <w:rPr>
                      <w:rFonts w:ascii="Cambria Math" w:hAnsi="Cambria Math"/>
                      <w:sz w:val="24"/>
                      <w:szCs w:val="22"/>
                    </w:rPr>
                    <m:t>N, base 2000</m:t>
                  </m:r>
                </m:sub>
              </m:sSub>
            </m:num>
            <m:den>
              <m:r>
                <w:rPr>
                  <w:rFonts w:ascii="Cambria Math" w:hAnsi="Cambria Math"/>
                  <w:sz w:val="24"/>
                  <w:szCs w:val="22"/>
                </w:rPr>
                <m:t>0,5*(</m:t>
              </m:r>
              <m:sSub>
                <m:sSubPr>
                  <m:ctrlPr>
                    <w:rPr>
                      <w:rFonts w:ascii="Cambria Math" w:hAnsi="Cambria Math"/>
                      <w:i/>
                      <w:sz w:val="24"/>
                      <w:szCs w:val="22"/>
                    </w:rPr>
                  </m:ctrlPr>
                </m:sSubPr>
                <m:e>
                  <m:r>
                    <w:rPr>
                      <w:rFonts w:ascii="Cambria Math" w:hAnsi="Cambria Math"/>
                      <w:sz w:val="24"/>
                      <w:szCs w:val="22"/>
                    </w:rPr>
                    <m:t>E</m:t>
                  </m:r>
                </m:e>
                <m:sub>
                  <m:r>
                    <w:rPr>
                      <w:rFonts w:ascii="Cambria Math" w:hAnsi="Cambria Math"/>
                      <w:sz w:val="24"/>
                      <w:szCs w:val="22"/>
                    </w:rPr>
                    <m:t>N-1, base 2000</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E</m:t>
                  </m:r>
                </m:e>
                <m:sub>
                  <m:r>
                    <w:rPr>
                      <w:rFonts w:ascii="Cambria Math" w:hAnsi="Cambria Math"/>
                      <w:sz w:val="24"/>
                      <w:szCs w:val="22"/>
                    </w:rPr>
                    <m:t>N, base 2000</m:t>
                  </m:r>
                </m:sub>
              </m:sSub>
              <m:r>
                <w:rPr>
                  <w:rFonts w:ascii="Cambria Math" w:hAnsi="Cambria Math"/>
                  <w:sz w:val="24"/>
                  <w:szCs w:val="22"/>
                </w:rPr>
                <m:t>)</m:t>
              </m:r>
            </m:den>
          </m:f>
        </m:oMath>
      </m:oMathPara>
    </w:p>
    <w:p w:rsidR="0080460B" w:rsidRPr="0080460B" w:rsidRDefault="0080460B" w:rsidP="0080460B">
      <w:pPr>
        <w:jc w:val="both"/>
      </w:pPr>
      <w:r w:rsidRPr="0080460B">
        <w:t>Et on applique alors ce ratio à la moyenne des encours en N et N-1 en base 2014</w:t>
      </w:r>
    </w:p>
    <w:p w:rsidR="0080460B" w:rsidRPr="0080460B" w:rsidRDefault="00D94F51" w:rsidP="0080460B">
      <w:pPr>
        <w:jc w:val="both"/>
        <w:rPr>
          <w:sz w:val="22"/>
          <w:szCs w:val="22"/>
        </w:rPr>
      </w:pPr>
      <m:oMathPara>
        <m:oMath>
          <m:sSub>
            <m:sSubPr>
              <m:ctrlPr>
                <w:rPr>
                  <w:rFonts w:ascii="Cambria Math" w:hAnsi="Cambria Math"/>
                  <w:i/>
                  <w:sz w:val="24"/>
                  <w:szCs w:val="22"/>
                </w:rPr>
              </m:ctrlPr>
            </m:sSubPr>
            <m:e>
              <m:r>
                <w:rPr>
                  <w:rFonts w:ascii="Cambria Math" w:hAnsi="Cambria Math"/>
                  <w:sz w:val="24"/>
                  <w:szCs w:val="22"/>
                </w:rPr>
                <m:t>G</m:t>
              </m:r>
            </m:e>
            <m:sub>
              <m:r>
                <w:rPr>
                  <w:rFonts w:ascii="Cambria Math" w:hAnsi="Cambria Math"/>
                  <w:sz w:val="24"/>
                  <w:szCs w:val="22"/>
                </w:rPr>
                <m:t>N, base 2014</m:t>
              </m:r>
            </m:sub>
          </m:sSub>
          <m:r>
            <w:rPr>
              <w:rFonts w:ascii="Cambria Math" w:hAnsi="Cambria Math"/>
              <w:sz w:val="24"/>
              <w:szCs w:val="22"/>
            </w:rPr>
            <m:t>=</m:t>
          </m:r>
          <m:f>
            <m:fPr>
              <m:ctrlPr>
                <w:rPr>
                  <w:rFonts w:ascii="Cambria Math" w:hAnsi="Cambria Math"/>
                  <w:i/>
                  <w:sz w:val="24"/>
                  <w:szCs w:val="22"/>
                </w:rPr>
              </m:ctrlPr>
            </m:fPr>
            <m:num>
              <m:sSub>
                <m:sSubPr>
                  <m:ctrlPr>
                    <w:rPr>
                      <w:rFonts w:ascii="Cambria Math" w:hAnsi="Cambria Math"/>
                      <w:i/>
                      <w:sz w:val="24"/>
                      <w:szCs w:val="22"/>
                    </w:rPr>
                  </m:ctrlPr>
                </m:sSubPr>
                <m:e>
                  <m:r>
                    <w:rPr>
                      <w:rFonts w:ascii="Cambria Math" w:hAnsi="Cambria Math"/>
                      <w:sz w:val="24"/>
                      <w:szCs w:val="22"/>
                    </w:rPr>
                    <m:t>G</m:t>
                  </m:r>
                </m:e>
                <m:sub>
                  <m:r>
                    <w:rPr>
                      <w:rFonts w:ascii="Cambria Math" w:hAnsi="Cambria Math"/>
                      <w:sz w:val="24"/>
                      <w:szCs w:val="22"/>
                    </w:rPr>
                    <m:t>N, base 2000</m:t>
                  </m:r>
                </m:sub>
              </m:sSub>
            </m:num>
            <m:den>
              <m:r>
                <w:rPr>
                  <w:rFonts w:ascii="Cambria Math" w:hAnsi="Cambria Math"/>
                  <w:sz w:val="24"/>
                  <w:szCs w:val="22"/>
                </w:rPr>
                <m:t>0,5*(</m:t>
              </m:r>
              <m:sSub>
                <m:sSubPr>
                  <m:ctrlPr>
                    <w:rPr>
                      <w:rFonts w:ascii="Cambria Math" w:hAnsi="Cambria Math"/>
                      <w:i/>
                      <w:sz w:val="24"/>
                      <w:szCs w:val="22"/>
                    </w:rPr>
                  </m:ctrlPr>
                </m:sSubPr>
                <m:e>
                  <m:r>
                    <w:rPr>
                      <w:rFonts w:ascii="Cambria Math" w:hAnsi="Cambria Math"/>
                      <w:sz w:val="24"/>
                      <w:szCs w:val="22"/>
                    </w:rPr>
                    <m:t>E</m:t>
                  </m:r>
                </m:e>
                <m:sub>
                  <m:r>
                    <w:rPr>
                      <w:rFonts w:ascii="Cambria Math" w:hAnsi="Cambria Math"/>
                      <w:sz w:val="24"/>
                      <w:szCs w:val="22"/>
                    </w:rPr>
                    <m:t>N-1, base 2000</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E</m:t>
                  </m:r>
                </m:e>
                <m:sub>
                  <m:r>
                    <w:rPr>
                      <w:rFonts w:ascii="Cambria Math" w:hAnsi="Cambria Math"/>
                      <w:sz w:val="24"/>
                      <w:szCs w:val="22"/>
                    </w:rPr>
                    <m:t>N, base 2000</m:t>
                  </m:r>
                </m:sub>
              </m:sSub>
              <m:r>
                <w:rPr>
                  <w:rFonts w:ascii="Cambria Math" w:hAnsi="Cambria Math"/>
                  <w:sz w:val="24"/>
                  <w:szCs w:val="22"/>
                </w:rPr>
                <m:t>)</m:t>
              </m:r>
            </m:den>
          </m:f>
          <m:r>
            <w:rPr>
              <w:rFonts w:ascii="Cambria Math" w:hAnsi="Cambria Math"/>
              <w:sz w:val="24"/>
              <w:szCs w:val="22"/>
            </w:rPr>
            <m:t>∙0,5*(</m:t>
          </m:r>
          <m:sSub>
            <m:sSubPr>
              <m:ctrlPr>
                <w:rPr>
                  <w:rFonts w:ascii="Cambria Math" w:hAnsi="Cambria Math"/>
                  <w:i/>
                  <w:sz w:val="24"/>
                  <w:szCs w:val="22"/>
                </w:rPr>
              </m:ctrlPr>
            </m:sSubPr>
            <m:e>
              <m:r>
                <w:rPr>
                  <w:rFonts w:ascii="Cambria Math" w:hAnsi="Cambria Math"/>
                  <w:sz w:val="24"/>
                  <w:szCs w:val="22"/>
                </w:rPr>
                <m:t>E</m:t>
              </m:r>
            </m:e>
            <m:sub>
              <m:r>
                <w:rPr>
                  <w:rFonts w:ascii="Cambria Math" w:hAnsi="Cambria Math"/>
                  <w:sz w:val="24"/>
                  <w:szCs w:val="22"/>
                </w:rPr>
                <m:t>N-1, base 2014</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E</m:t>
              </m:r>
            </m:e>
            <m:sub>
              <m:r>
                <w:rPr>
                  <w:rFonts w:ascii="Cambria Math" w:hAnsi="Cambria Math"/>
                  <w:sz w:val="24"/>
                  <w:szCs w:val="22"/>
                </w:rPr>
                <m:t>N, base 2014</m:t>
              </m:r>
            </m:sub>
          </m:sSub>
          <m:r>
            <w:rPr>
              <w:rFonts w:ascii="Cambria Math" w:hAnsi="Cambria Math"/>
              <w:sz w:val="24"/>
              <w:szCs w:val="22"/>
            </w:rPr>
            <m:t>)</m:t>
          </m:r>
        </m:oMath>
      </m:oMathPara>
    </w:p>
    <w:p w:rsidR="0080460B" w:rsidRPr="0080460B" w:rsidRDefault="0080460B" w:rsidP="0080460B">
      <w:pPr>
        <w:jc w:val="both"/>
        <w:rPr>
          <w:sz w:val="22"/>
          <w:szCs w:val="22"/>
        </w:rPr>
      </w:pPr>
    </w:p>
    <w:p w:rsidR="0080460B" w:rsidRPr="0080460B" w:rsidRDefault="0080460B" w:rsidP="0080460B">
      <w:pPr>
        <w:jc w:val="both"/>
        <w:rPr>
          <w:szCs w:val="22"/>
        </w:rPr>
      </w:pPr>
      <w:r w:rsidRPr="0080460B">
        <w:rPr>
          <w:rFonts w:ascii="Arial" w:hAnsi="Arial" w:cs="Arial"/>
          <w:szCs w:val="22"/>
        </w:rPr>
        <w:t>Une façon strictement équivalente de se le représenter est de calculer un indice de valorisation implicite en base 2000</w:t>
      </w:r>
      <w:r w:rsidRPr="0080460B">
        <w:rPr>
          <w:szCs w:val="22"/>
        </w:rPr>
        <w:t xml:space="preserve"> </w:t>
      </w:r>
      <w:r w:rsidRPr="0080460B">
        <w:rPr>
          <w:sz w:val="22"/>
          <w:szCs w:val="22"/>
        </w:rPr>
        <w:t>(</w:t>
      </w:r>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N, base 2000</m:t>
            </m:r>
          </m:sub>
        </m:sSub>
      </m:oMath>
      <w:r w:rsidRPr="0080460B">
        <w:rPr>
          <w:sz w:val="22"/>
          <w:szCs w:val="22"/>
        </w:rPr>
        <w:t xml:space="preserve">) </w:t>
      </w:r>
      <w:r w:rsidRPr="0080460B">
        <w:rPr>
          <w:szCs w:val="22"/>
        </w:rPr>
        <w:t>puis de l’appliquer sur la base 2014.</w:t>
      </w:r>
    </w:p>
    <w:p w:rsidR="0080460B" w:rsidRPr="0080460B" w:rsidRDefault="00D94F51" w:rsidP="0080460B">
      <w:pPr>
        <w:jc w:val="both"/>
        <w:rPr>
          <w:sz w:val="22"/>
          <w:szCs w:val="22"/>
        </w:rPr>
      </w:pPr>
      <m:oMathPara>
        <m:oMath>
          <m:sSub>
            <m:sSubPr>
              <m:ctrlPr>
                <w:rPr>
                  <w:rFonts w:ascii="Cambria Math" w:hAnsi="Cambria Math"/>
                  <w:i/>
                  <w:sz w:val="24"/>
                  <w:szCs w:val="22"/>
                </w:rPr>
              </m:ctrlPr>
            </m:sSubPr>
            <m:e>
              <m:r>
                <w:rPr>
                  <w:rFonts w:ascii="Cambria Math" w:hAnsi="Cambria Math"/>
                  <w:sz w:val="24"/>
                  <w:szCs w:val="22"/>
                </w:rPr>
                <m:t>I</m:t>
              </m:r>
            </m:e>
            <m:sub>
              <m:r>
                <w:rPr>
                  <w:rFonts w:ascii="Cambria Math" w:hAnsi="Cambria Math"/>
                  <w:sz w:val="24"/>
                  <w:szCs w:val="22"/>
                </w:rPr>
                <m:t>N, base 2000</m:t>
              </m:r>
            </m:sub>
          </m:sSub>
          <m:r>
            <w:rPr>
              <w:rFonts w:ascii="Cambria Math" w:hAnsi="Cambria Math"/>
              <w:sz w:val="24"/>
              <w:szCs w:val="22"/>
            </w:rPr>
            <m:t>=</m:t>
          </m:r>
          <m:f>
            <m:fPr>
              <m:type m:val="lin"/>
              <m:ctrlPr>
                <w:rPr>
                  <w:rFonts w:ascii="Cambria Math" w:hAnsi="Cambria Math"/>
                  <w:i/>
                  <w:sz w:val="24"/>
                  <w:szCs w:val="22"/>
                </w:rPr>
              </m:ctrlPr>
            </m:fPr>
            <m:num>
              <m:d>
                <m:dPr>
                  <m:begChr m:val="["/>
                  <m:endChr m:val="]"/>
                  <m:ctrlPr>
                    <w:rPr>
                      <w:rFonts w:ascii="Cambria Math" w:hAnsi="Cambria Math"/>
                      <w:i/>
                      <w:sz w:val="24"/>
                      <w:szCs w:val="22"/>
                    </w:rPr>
                  </m:ctrlPr>
                </m:dPr>
                <m:e>
                  <m:sSub>
                    <m:sSubPr>
                      <m:ctrlPr>
                        <w:rPr>
                          <w:rFonts w:ascii="Cambria Math" w:hAnsi="Cambria Math"/>
                          <w:i/>
                          <w:sz w:val="24"/>
                          <w:szCs w:val="22"/>
                        </w:rPr>
                      </m:ctrlPr>
                    </m:sSubPr>
                    <m:e>
                      <m:r>
                        <w:rPr>
                          <w:rFonts w:ascii="Cambria Math" w:hAnsi="Cambria Math"/>
                          <w:sz w:val="24"/>
                          <w:szCs w:val="22"/>
                        </w:rPr>
                        <m:t>E</m:t>
                      </m:r>
                    </m:e>
                    <m:sub>
                      <m:r>
                        <w:rPr>
                          <w:rFonts w:ascii="Cambria Math" w:hAnsi="Cambria Math"/>
                          <w:sz w:val="24"/>
                          <w:szCs w:val="22"/>
                        </w:rPr>
                        <m:t>N, base 2000</m:t>
                      </m:r>
                    </m:sub>
                  </m:sSub>
                  <m:r>
                    <w:rPr>
                      <w:rFonts w:ascii="Cambria Math" w:hAnsi="Cambria Math"/>
                      <w:sz w:val="24"/>
                      <w:szCs w:val="22"/>
                    </w:rPr>
                    <m:t>-0,5∙</m:t>
                  </m:r>
                  <m:d>
                    <m:dPr>
                      <m:ctrlPr>
                        <w:rPr>
                          <w:rFonts w:ascii="Cambria Math" w:hAnsi="Cambria Math"/>
                          <w:i/>
                          <w:sz w:val="24"/>
                          <w:szCs w:val="22"/>
                        </w:rPr>
                      </m:ctrlPr>
                    </m:dPr>
                    <m:e>
                      <m:sSub>
                        <m:sSubPr>
                          <m:ctrlPr>
                            <w:rPr>
                              <w:rFonts w:ascii="Cambria Math" w:hAnsi="Cambria Math"/>
                              <w:i/>
                              <w:sz w:val="24"/>
                              <w:szCs w:val="22"/>
                            </w:rPr>
                          </m:ctrlPr>
                        </m:sSubPr>
                        <m:e>
                          <m:r>
                            <w:rPr>
                              <w:rFonts w:ascii="Cambria Math" w:hAnsi="Cambria Math"/>
                              <w:sz w:val="24"/>
                              <w:szCs w:val="22"/>
                            </w:rPr>
                            <m:t>F</m:t>
                          </m:r>
                        </m:e>
                        <m:sub>
                          <m:r>
                            <w:rPr>
                              <w:rFonts w:ascii="Cambria Math" w:hAnsi="Cambria Math"/>
                              <w:sz w:val="24"/>
                              <w:szCs w:val="22"/>
                            </w:rPr>
                            <m:t>N, base 2000</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K</m:t>
                          </m:r>
                        </m:e>
                        <m:sub>
                          <m:r>
                            <w:rPr>
                              <w:rFonts w:ascii="Cambria Math" w:hAnsi="Cambria Math"/>
                              <w:sz w:val="24"/>
                              <w:szCs w:val="22"/>
                            </w:rPr>
                            <m:t xml:space="preserve">N, </m:t>
                          </m:r>
                          <m:r>
                            <w:rPr>
                              <w:rFonts w:ascii="Cambria Math" w:hAnsi="Cambria Math"/>
                              <w:sz w:val="28"/>
                              <w:szCs w:val="22"/>
                            </w:rPr>
                            <m:t>base</m:t>
                          </m:r>
                          <m:r>
                            <w:rPr>
                              <w:rFonts w:ascii="Cambria Math" w:hAnsi="Cambria Math"/>
                              <w:sz w:val="24"/>
                              <w:szCs w:val="22"/>
                            </w:rPr>
                            <m:t xml:space="preserve"> 2000</m:t>
                          </m:r>
                        </m:sub>
                      </m:sSub>
                    </m:e>
                  </m:d>
                </m:e>
              </m:d>
            </m:num>
            <m:den>
              <m:d>
                <m:dPr>
                  <m:begChr m:val="["/>
                  <m:endChr m:val="]"/>
                  <m:ctrlPr>
                    <w:rPr>
                      <w:rFonts w:ascii="Cambria Math" w:hAnsi="Cambria Math"/>
                      <w:i/>
                      <w:sz w:val="24"/>
                      <w:szCs w:val="22"/>
                    </w:rPr>
                  </m:ctrlPr>
                </m:dPr>
                <m:e>
                  <m:sSub>
                    <m:sSubPr>
                      <m:ctrlPr>
                        <w:rPr>
                          <w:rFonts w:ascii="Cambria Math" w:hAnsi="Cambria Math"/>
                          <w:i/>
                          <w:sz w:val="24"/>
                          <w:szCs w:val="22"/>
                        </w:rPr>
                      </m:ctrlPr>
                    </m:sSubPr>
                    <m:e>
                      <m:r>
                        <w:rPr>
                          <w:rFonts w:ascii="Cambria Math" w:hAnsi="Cambria Math"/>
                          <w:sz w:val="24"/>
                          <w:szCs w:val="22"/>
                        </w:rPr>
                        <m:t>E</m:t>
                      </m:r>
                    </m:e>
                    <m:sub>
                      <m:r>
                        <w:rPr>
                          <w:rFonts w:ascii="Cambria Math" w:hAnsi="Cambria Math"/>
                          <w:sz w:val="24"/>
                          <w:szCs w:val="22"/>
                        </w:rPr>
                        <m:t>N-1, base 2000</m:t>
                      </m:r>
                    </m:sub>
                  </m:sSub>
                  <m:r>
                    <w:rPr>
                      <w:rFonts w:ascii="Cambria Math" w:hAnsi="Cambria Math"/>
                      <w:sz w:val="24"/>
                      <w:szCs w:val="22"/>
                    </w:rPr>
                    <m:t>+0,5∙</m:t>
                  </m:r>
                  <m:d>
                    <m:dPr>
                      <m:ctrlPr>
                        <w:rPr>
                          <w:rFonts w:ascii="Cambria Math" w:hAnsi="Cambria Math"/>
                          <w:i/>
                          <w:sz w:val="24"/>
                          <w:szCs w:val="22"/>
                        </w:rPr>
                      </m:ctrlPr>
                    </m:dPr>
                    <m:e>
                      <m:sSub>
                        <m:sSubPr>
                          <m:ctrlPr>
                            <w:rPr>
                              <w:rFonts w:ascii="Cambria Math" w:hAnsi="Cambria Math"/>
                              <w:i/>
                              <w:sz w:val="24"/>
                              <w:szCs w:val="22"/>
                            </w:rPr>
                          </m:ctrlPr>
                        </m:sSubPr>
                        <m:e>
                          <m:r>
                            <w:rPr>
                              <w:rFonts w:ascii="Cambria Math" w:hAnsi="Cambria Math"/>
                              <w:sz w:val="24"/>
                              <w:szCs w:val="22"/>
                            </w:rPr>
                            <m:t>F</m:t>
                          </m:r>
                        </m:e>
                        <m:sub>
                          <m:r>
                            <w:rPr>
                              <w:rFonts w:ascii="Cambria Math" w:hAnsi="Cambria Math"/>
                              <w:sz w:val="24"/>
                              <w:szCs w:val="22"/>
                            </w:rPr>
                            <m:t>N, base 2000</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K</m:t>
                          </m:r>
                        </m:e>
                        <m:sub>
                          <m:r>
                            <w:rPr>
                              <w:rFonts w:ascii="Cambria Math" w:hAnsi="Cambria Math"/>
                              <w:sz w:val="24"/>
                              <w:szCs w:val="22"/>
                            </w:rPr>
                            <m:t>N, base 2000</m:t>
                          </m:r>
                        </m:sub>
                      </m:sSub>
                    </m:e>
                  </m:d>
                </m:e>
              </m:d>
            </m:den>
          </m:f>
          <m:r>
            <w:rPr>
              <w:rFonts w:ascii="Cambria Math" w:hAnsi="Cambria Math"/>
              <w:sz w:val="24"/>
              <w:szCs w:val="22"/>
            </w:rPr>
            <m:t>)</m:t>
          </m:r>
        </m:oMath>
      </m:oMathPara>
    </w:p>
    <w:p w:rsidR="0080460B" w:rsidRPr="0080460B" w:rsidRDefault="0080460B" w:rsidP="0080460B">
      <w:pPr>
        <w:jc w:val="both"/>
        <w:rPr>
          <w:rFonts w:ascii="Arial" w:hAnsi="Arial" w:cs="Arial"/>
          <w:szCs w:val="22"/>
        </w:rPr>
      </w:pPr>
      <w:r w:rsidRPr="0080460B">
        <w:rPr>
          <w:rFonts w:ascii="Arial" w:hAnsi="Arial" w:cs="Arial"/>
          <w:szCs w:val="22"/>
        </w:rPr>
        <w:t>(</w:t>
      </w:r>
      <w:r w:rsidR="000527E2" w:rsidRPr="0080460B">
        <w:rPr>
          <w:rFonts w:ascii="Arial" w:hAnsi="Arial" w:cs="Arial"/>
          <w:szCs w:val="22"/>
        </w:rPr>
        <w:t>Dans</w:t>
      </w:r>
      <w:r w:rsidRPr="0080460B">
        <w:rPr>
          <w:rFonts w:ascii="Arial" w:hAnsi="Arial" w:cs="Arial"/>
          <w:szCs w:val="22"/>
        </w:rPr>
        <w:t xml:space="preserve"> cette formule, classique dans l’élaboration des comptes financiers, on regarde comment l’encours en N-1 est réévalué mais on cherche également à appliquer des effets de réévaluation intrapériode sur les flux de transaction et changements de volume qui se sont produits entre N-1 et N. Si on fait l’hypothèse que les flux et changements de volume sont répartis de façon uniforme sur la période, on obtient la formule ci-dessus)</w:t>
      </w:r>
    </w:p>
    <w:p w:rsidR="0080460B" w:rsidRPr="0080460B" w:rsidRDefault="0080460B" w:rsidP="0080460B">
      <w:pPr>
        <w:jc w:val="both"/>
        <w:rPr>
          <w:rFonts w:ascii="Arial" w:hAnsi="Arial" w:cs="Arial"/>
          <w:szCs w:val="22"/>
        </w:rPr>
      </w:pPr>
      <w:r w:rsidRPr="0080460B">
        <w:rPr>
          <w:rFonts w:ascii="Arial" w:hAnsi="Arial" w:cs="Arial"/>
          <w:szCs w:val="22"/>
        </w:rPr>
        <w:t>Il peut arriver dans quelques rares cas (494 cas sur 12 762 soit moins de 4%) que le calcul l’indice de valorisation implicite en base 2000 donne des valeurs qui peuvent sembler trop importantes voire aberrantes. Cela peut en particulier se produire pour des encours très faibles et des flux de transaction, de réévaluations et de changements de volume importants face à ces encours et aux variations d’encours (avec potentiellement des variations de signes contraires).</w:t>
      </w:r>
    </w:p>
    <w:p w:rsidR="0080460B" w:rsidRPr="0080460B" w:rsidRDefault="0080460B" w:rsidP="0080460B">
      <w:pPr>
        <w:jc w:val="both"/>
        <w:rPr>
          <w:rFonts w:ascii="Arial" w:hAnsi="Arial" w:cs="Arial"/>
          <w:szCs w:val="22"/>
        </w:rPr>
      </w:pPr>
      <w:r w:rsidRPr="0080460B">
        <w:rPr>
          <w:rFonts w:ascii="Arial" w:hAnsi="Arial" w:cs="Arial"/>
          <w:szCs w:val="22"/>
        </w:rPr>
        <w:t xml:space="preserve">Nous avons donc choisi de façon empirique un seuil sur ces indices de valorisation au-delà duquel on calcule la valorisation en base 2014 par une méthode alternative, en calculant cette fois-ci la proportion entre flux de réévaluation et variation d’encours en base 2000 et en l’appliquant sur la base 2014 : </w:t>
      </w:r>
    </w:p>
    <w:p w:rsidR="0080460B" w:rsidRPr="0080460B" w:rsidRDefault="0080460B" w:rsidP="0080460B">
      <w:pPr>
        <w:jc w:val="both"/>
        <w:rPr>
          <w:sz w:val="22"/>
          <w:szCs w:val="22"/>
        </w:rPr>
      </w:pPr>
      <w:r w:rsidRPr="0080460B">
        <w:rPr>
          <w:sz w:val="22"/>
          <w:szCs w:val="22"/>
        </w:rPr>
        <w:t xml:space="preserve">Si </w:t>
      </w:r>
      <m:oMath>
        <m:sSub>
          <m:sSubPr>
            <m:ctrlPr>
              <w:rPr>
                <w:rFonts w:ascii="Cambria Math" w:hAnsi="Cambria Math"/>
                <w:i/>
                <w:sz w:val="24"/>
                <w:szCs w:val="22"/>
              </w:rPr>
            </m:ctrlPr>
          </m:sSubPr>
          <m:e>
            <m:r>
              <w:rPr>
                <w:rFonts w:ascii="Cambria Math" w:hAnsi="Cambria Math"/>
                <w:sz w:val="24"/>
                <w:szCs w:val="22"/>
              </w:rPr>
              <m:t>I</m:t>
            </m:r>
          </m:e>
          <m:sub>
            <m:r>
              <w:rPr>
                <w:rFonts w:ascii="Cambria Math" w:hAnsi="Cambria Math"/>
                <w:sz w:val="24"/>
                <w:szCs w:val="22"/>
              </w:rPr>
              <m:t>N, base 2000</m:t>
            </m:r>
          </m:sub>
        </m:sSub>
        <m:r>
          <w:rPr>
            <w:rFonts w:ascii="Cambria Math" w:hAnsi="Cambria Math"/>
            <w:sz w:val="24"/>
            <w:szCs w:val="22"/>
          </w:rPr>
          <m:t>&lt;0.7</m:t>
        </m:r>
      </m:oMath>
      <w:r w:rsidRPr="0080460B">
        <w:rPr>
          <w:sz w:val="22"/>
          <w:szCs w:val="22"/>
        </w:rPr>
        <w:t xml:space="preserve"> ou </w:t>
      </w:r>
      <m:oMath>
        <m:sSub>
          <m:sSubPr>
            <m:ctrlPr>
              <w:rPr>
                <w:rFonts w:ascii="Cambria Math" w:hAnsi="Cambria Math"/>
                <w:i/>
                <w:sz w:val="24"/>
                <w:szCs w:val="22"/>
              </w:rPr>
            </m:ctrlPr>
          </m:sSubPr>
          <m:e>
            <m:r>
              <w:rPr>
                <w:rFonts w:ascii="Cambria Math" w:hAnsi="Cambria Math"/>
                <w:sz w:val="24"/>
                <w:szCs w:val="22"/>
              </w:rPr>
              <m:t>I</m:t>
            </m:r>
          </m:e>
          <m:sub>
            <m:r>
              <w:rPr>
                <w:rFonts w:ascii="Cambria Math" w:hAnsi="Cambria Math"/>
                <w:sz w:val="24"/>
                <w:szCs w:val="22"/>
              </w:rPr>
              <m:t>N, base 2000</m:t>
            </m:r>
          </m:sub>
        </m:sSub>
        <m:r>
          <w:rPr>
            <w:rFonts w:ascii="Cambria Math" w:hAnsi="Cambria Math"/>
            <w:sz w:val="24"/>
            <w:szCs w:val="22"/>
          </w:rPr>
          <m:t>&gt;1.3</m:t>
        </m:r>
      </m:oMath>
      <w:r w:rsidRPr="0080460B">
        <w:rPr>
          <w:sz w:val="22"/>
          <w:szCs w:val="22"/>
        </w:rPr>
        <w:t>, alors</w:t>
      </w:r>
    </w:p>
    <w:p w:rsidR="0080460B" w:rsidRPr="0080460B" w:rsidRDefault="00D94F51" w:rsidP="0080460B">
      <w:pPr>
        <w:jc w:val="both"/>
        <w:rPr>
          <w:sz w:val="22"/>
          <w:szCs w:val="22"/>
        </w:rPr>
      </w:pPr>
      <m:oMathPara>
        <m:oMath>
          <m:sSub>
            <m:sSubPr>
              <m:ctrlPr>
                <w:rPr>
                  <w:rFonts w:ascii="Cambria Math" w:hAnsi="Cambria Math"/>
                  <w:i/>
                  <w:sz w:val="24"/>
                  <w:szCs w:val="22"/>
                </w:rPr>
              </m:ctrlPr>
            </m:sSubPr>
            <m:e>
              <m:r>
                <w:rPr>
                  <w:rFonts w:ascii="Cambria Math" w:hAnsi="Cambria Math"/>
                  <w:sz w:val="24"/>
                  <w:szCs w:val="22"/>
                </w:rPr>
                <m:t>G</m:t>
              </m:r>
            </m:e>
            <m:sub>
              <m:r>
                <w:rPr>
                  <w:rFonts w:ascii="Cambria Math" w:hAnsi="Cambria Math"/>
                  <w:sz w:val="24"/>
                  <w:szCs w:val="22"/>
                </w:rPr>
                <m:t>N, base 2014</m:t>
              </m:r>
            </m:sub>
          </m:sSub>
          <m:r>
            <w:rPr>
              <w:rFonts w:ascii="Cambria Math" w:hAnsi="Cambria Math"/>
              <w:sz w:val="24"/>
              <w:szCs w:val="22"/>
            </w:rPr>
            <m:t>=</m:t>
          </m:r>
          <m:f>
            <m:fPr>
              <m:ctrlPr>
                <w:rPr>
                  <w:rFonts w:ascii="Cambria Math" w:hAnsi="Cambria Math"/>
                  <w:i/>
                  <w:sz w:val="24"/>
                  <w:szCs w:val="22"/>
                </w:rPr>
              </m:ctrlPr>
            </m:fPr>
            <m:num>
              <m:sSub>
                <m:sSubPr>
                  <m:ctrlPr>
                    <w:rPr>
                      <w:rFonts w:ascii="Cambria Math" w:hAnsi="Cambria Math"/>
                      <w:i/>
                      <w:sz w:val="24"/>
                      <w:szCs w:val="22"/>
                    </w:rPr>
                  </m:ctrlPr>
                </m:sSubPr>
                <m:e>
                  <m:r>
                    <w:rPr>
                      <w:rFonts w:ascii="Cambria Math" w:hAnsi="Cambria Math"/>
                      <w:sz w:val="24"/>
                      <w:szCs w:val="22"/>
                    </w:rPr>
                    <m:t>G</m:t>
                  </m:r>
                </m:e>
                <m:sub>
                  <m:r>
                    <w:rPr>
                      <w:rFonts w:ascii="Cambria Math" w:hAnsi="Cambria Math"/>
                      <w:sz w:val="24"/>
                      <w:szCs w:val="22"/>
                    </w:rPr>
                    <m:t>N, base 2000</m:t>
                  </m:r>
                </m:sub>
              </m:sSub>
            </m:num>
            <m:den>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E</m:t>
                  </m:r>
                </m:e>
                <m:sub>
                  <m:r>
                    <w:rPr>
                      <w:rFonts w:ascii="Cambria Math" w:hAnsi="Cambria Math"/>
                      <w:sz w:val="24"/>
                      <w:szCs w:val="22"/>
                    </w:rPr>
                    <m:t>N, base 2000</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E</m:t>
                  </m:r>
                </m:e>
                <m:sub>
                  <m:r>
                    <w:rPr>
                      <w:rFonts w:ascii="Cambria Math" w:hAnsi="Cambria Math"/>
                      <w:sz w:val="24"/>
                      <w:szCs w:val="22"/>
                    </w:rPr>
                    <m:t>N-1, base 2000</m:t>
                  </m:r>
                </m:sub>
              </m:sSub>
              <m:r>
                <w:rPr>
                  <w:rFonts w:ascii="Cambria Math" w:hAnsi="Cambria Math"/>
                  <w:sz w:val="24"/>
                  <w:szCs w:val="22"/>
                </w:rPr>
                <m:t>)</m:t>
              </m:r>
            </m:den>
          </m:f>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E</m:t>
              </m:r>
            </m:e>
            <m:sub>
              <m:r>
                <w:rPr>
                  <w:rFonts w:ascii="Cambria Math" w:hAnsi="Cambria Math"/>
                  <w:sz w:val="24"/>
                  <w:szCs w:val="22"/>
                </w:rPr>
                <m:t>N, base 2014</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E</m:t>
              </m:r>
            </m:e>
            <m:sub>
              <m:r>
                <w:rPr>
                  <w:rFonts w:ascii="Cambria Math" w:hAnsi="Cambria Math"/>
                  <w:sz w:val="24"/>
                  <w:szCs w:val="22"/>
                </w:rPr>
                <m:t>N-1, base 2014</m:t>
              </m:r>
            </m:sub>
          </m:sSub>
          <m:r>
            <w:rPr>
              <w:rFonts w:ascii="Cambria Math" w:hAnsi="Cambria Math"/>
              <w:sz w:val="24"/>
              <w:szCs w:val="22"/>
            </w:rPr>
            <m:t>)</m:t>
          </m:r>
        </m:oMath>
      </m:oMathPara>
    </w:p>
    <w:p w:rsidR="0080460B" w:rsidRPr="0080460B" w:rsidRDefault="0080460B" w:rsidP="0080460B">
      <w:pPr>
        <w:jc w:val="both"/>
        <w:rPr>
          <w:sz w:val="22"/>
          <w:szCs w:val="22"/>
        </w:rPr>
      </w:pPr>
    </w:p>
    <w:p w:rsidR="0080460B" w:rsidRPr="0080460B" w:rsidRDefault="0080460B" w:rsidP="0080460B">
      <w:pPr>
        <w:jc w:val="both"/>
        <w:rPr>
          <w:rFonts w:ascii="Arial" w:hAnsi="Arial" w:cs="Arial"/>
        </w:rPr>
      </w:pPr>
      <w:r w:rsidRPr="0080460B">
        <w:rPr>
          <w:rFonts w:ascii="Arial" w:hAnsi="Arial" w:cs="Arial"/>
        </w:rPr>
        <w:t>Ces choix étant effectués, on peut procéder ainsi au niveau des totaux actifs et passifs et pour chaque secteur mais nous allons retomber sur la même problématique que précédemment pour les encours de devoir respecter l’égalité entre la réévaluation du total et la somme des réévaluations pour chaque secteur. On va procéder de manière identique aux encours à savoir :</w:t>
      </w:r>
    </w:p>
    <w:p w:rsidR="0080460B" w:rsidRPr="0080460B" w:rsidRDefault="0080460B" w:rsidP="0080460B">
      <w:pPr>
        <w:numPr>
          <w:ilvl w:val="0"/>
          <w:numId w:val="36"/>
        </w:numPr>
        <w:jc w:val="both"/>
        <w:rPr>
          <w:rFonts w:ascii="Arial" w:hAnsi="Arial" w:cs="Arial"/>
        </w:rPr>
      </w:pPr>
      <w:r w:rsidRPr="0080460B">
        <w:rPr>
          <w:rFonts w:ascii="Arial" w:hAnsi="Arial" w:cs="Arial"/>
        </w:rPr>
        <w:t xml:space="preserve">Pour un secteur i pour lequel nous n’avions pas modifié les encours (série dite « figée »), on garde la réévaluation </w:t>
      </w:r>
      <m:oMath>
        <m:sSubSup>
          <m:sSubSupPr>
            <m:ctrlPr>
              <w:rPr>
                <w:rFonts w:ascii="Cambria Math" w:hAnsi="Cambria Math" w:cs="Arial"/>
                <w:i/>
                <w:sz w:val="22"/>
              </w:rPr>
            </m:ctrlPr>
          </m:sSubSupPr>
          <m:e>
            <m:r>
              <w:rPr>
                <w:rFonts w:ascii="Cambria Math" w:hAnsi="Cambria Math" w:cs="Arial"/>
                <w:sz w:val="22"/>
              </w:rPr>
              <m:t>G</m:t>
            </m:r>
          </m:e>
          <m:sub>
            <m:r>
              <w:rPr>
                <w:rFonts w:ascii="Cambria Math" w:hAnsi="Cambria Math" w:cs="Arial"/>
                <w:sz w:val="22"/>
              </w:rPr>
              <m:t>N, base 2014</m:t>
            </m:r>
          </m:sub>
          <m:sup>
            <m:r>
              <w:rPr>
                <w:rFonts w:ascii="Cambria Math" w:hAnsi="Cambria Math" w:cs="Arial"/>
                <w:sz w:val="22"/>
              </w:rPr>
              <m:t>i</m:t>
            </m:r>
          </m:sup>
        </m:sSubSup>
      </m:oMath>
      <w:r w:rsidRPr="0080460B">
        <w:rPr>
          <w:rFonts w:ascii="Arial" w:hAnsi="Arial" w:cs="Arial"/>
        </w:rPr>
        <w:t xml:space="preserve"> telle que nous l’avons calculée. Cela permet d’avoir des séries exemptes d’équilibrage à la fois sur les encours et les réévaluations et donc de conserver la cohérence naturelle de la base 2000.</w:t>
      </w:r>
    </w:p>
    <w:p w:rsidR="0080460B" w:rsidRDefault="0080460B" w:rsidP="0080460B">
      <w:pPr>
        <w:numPr>
          <w:ilvl w:val="0"/>
          <w:numId w:val="36"/>
        </w:numPr>
        <w:jc w:val="both"/>
        <w:rPr>
          <w:rFonts w:ascii="Arial" w:hAnsi="Arial" w:cs="Arial"/>
        </w:rPr>
      </w:pPr>
      <w:r w:rsidRPr="0080460B">
        <w:rPr>
          <w:rFonts w:ascii="Arial" w:hAnsi="Arial" w:cs="Arial"/>
        </w:rPr>
        <w:t>Pour les autres, on va comme précédemment procéder aux ajustements nécessaires pour retrouver l’égalité souhaitée, en ajustant toujours au prorata des réévaluations (en prenant cette fois-ci des valeurs absolues pour prendre en compte le fait que les réévaluations peuvent être négatives, contrairement aux encours) :</w:t>
      </w:r>
    </w:p>
    <w:p w:rsidR="00105E77" w:rsidRDefault="00105E77" w:rsidP="00105E77">
      <w:pPr>
        <w:ind w:left="1440"/>
        <w:jc w:val="both"/>
        <w:rPr>
          <w:rFonts w:ascii="Arial" w:hAnsi="Arial" w:cs="Arial"/>
        </w:rPr>
      </w:pPr>
    </w:p>
    <w:p w:rsidR="00105E77" w:rsidRPr="0080460B" w:rsidRDefault="00105E77" w:rsidP="00105E77">
      <w:pPr>
        <w:ind w:left="1440"/>
        <w:jc w:val="both"/>
        <w:rPr>
          <w:rFonts w:ascii="Arial" w:hAnsi="Arial" w:cs="Arial"/>
        </w:rPr>
      </w:pPr>
    </w:p>
    <w:p w:rsidR="0080460B" w:rsidRPr="0080460B" w:rsidRDefault="00D94F51" w:rsidP="0080460B">
      <w:pPr>
        <w:jc w:val="both"/>
        <w:rPr>
          <w:sz w:val="22"/>
          <w:szCs w:val="22"/>
        </w:rPr>
      </w:pPr>
      <m:oMathPara>
        <m:oMath>
          <m:sSubSup>
            <m:sSubSupPr>
              <m:ctrlPr>
                <w:rPr>
                  <w:rFonts w:ascii="Cambria Math" w:hAnsi="Cambria Math"/>
                  <w:i/>
                  <w:sz w:val="24"/>
                  <w:szCs w:val="22"/>
                </w:rPr>
              </m:ctrlPr>
            </m:sSubSupPr>
            <m:e>
              <m:r>
                <w:rPr>
                  <w:rFonts w:ascii="Cambria Math" w:hAnsi="Cambria Math"/>
                  <w:sz w:val="24"/>
                  <w:szCs w:val="22"/>
                </w:rPr>
                <m:t>G</m:t>
              </m:r>
            </m:e>
            <m:sub>
              <m:r>
                <w:rPr>
                  <w:rFonts w:ascii="Cambria Math" w:hAnsi="Cambria Math"/>
                  <w:sz w:val="24"/>
                  <w:szCs w:val="22"/>
                </w:rPr>
                <m:t>N-1, base 2014</m:t>
              </m:r>
            </m:sub>
            <m:sup>
              <m:r>
                <w:rPr>
                  <w:rFonts w:ascii="Cambria Math" w:hAnsi="Cambria Math"/>
                  <w:sz w:val="24"/>
                  <w:szCs w:val="22"/>
                </w:rPr>
                <m:t>j</m:t>
              </m:r>
            </m:sup>
          </m:sSubSup>
          <m:r>
            <w:rPr>
              <w:rFonts w:ascii="Cambria Math" w:hAnsi="Cambria Math"/>
              <w:sz w:val="24"/>
              <w:szCs w:val="22"/>
            </w:rPr>
            <m:t>=</m:t>
          </m:r>
          <m:sSubSup>
            <m:sSubSupPr>
              <m:ctrlPr>
                <w:rPr>
                  <w:rFonts w:ascii="Cambria Math" w:hAnsi="Cambria Math"/>
                  <w:i/>
                  <w:sz w:val="24"/>
                  <w:szCs w:val="22"/>
                </w:rPr>
              </m:ctrlPr>
            </m:sSubSupPr>
            <m:e>
              <m:acc>
                <m:accPr>
                  <m:ctrlPr>
                    <w:rPr>
                      <w:rFonts w:ascii="Cambria Math" w:hAnsi="Cambria Math"/>
                      <w:i/>
                      <w:sz w:val="24"/>
                      <w:szCs w:val="22"/>
                    </w:rPr>
                  </m:ctrlPr>
                </m:accPr>
                <m:e>
                  <m:r>
                    <w:rPr>
                      <w:rFonts w:ascii="Cambria Math" w:hAnsi="Cambria Math"/>
                      <w:sz w:val="24"/>
                      <w:szCs w:val="22"/>
                    </w:rPr>
                    <m:t>G</m:t>
                  </m:r>
                </m:e>
              </m:acc>
            </m:e>
            <m:sub>
              <m:r>
                <w:rPr>
                  <w:rFonts w:ascii="Cambria Math" w:hAnsi="Cambria Math"/>
                  <w:sz w:val="24"/>
                  <w:szCs w:val="22"/>
                </w:rPr>
                <m:t>N-1, base 2014</m:t>
              </m:r>
            </m:sub>
            <m:sup>
              <m:r>
                <w:rPr>
                  <w:rFonts w:ascii="Cambria Math" w:hAnsi="Cambria Math"/>
                  <w:sz w:val="24"/>
                  <w:szCs w:val="22"/>
                </w:rPr>
                <m:t>j</m:t>
              </m:r>
            </m:sup>
          </m:sSubSup>
          <m:r>
            <w:rPr>
              <w:rFonts w:ascii="Cambria Math" w:hAnsi="Cambria Math"/>
              <w:sz w:val="24"/>
              <w:szCs w:val="22"/>
            </w:rPr>
            <m:t xml:space="preserve">+ </m:t>
          </m:r>
          <m:f>
            <m:fPr>
              <m:ctrlPr>
                <w:rPr>
                  <w:rFonts w:ascii="Cambria Math" w:hAnsi="Cambria Math"/>
                  <w:i/>
                  <w:sz w:val="24"/>
                  <w:szCs w:val="22"/>
                </w:rPr>
              </m:ctrlPr>
            </m:fPr>
            <m:num>
              <m:d>
                <m:dPr>
                  <m:begChr m:val="|"/>
                  <m:endChr m:val="|"/>
                  <m:ctrlPr>
                    <w:rPr>
                      <w:rFonts w:ascii="Cambria Math" w:hAnsi="Cambria Math"/>
                      <w:i/>
                      <w:sz w:val="24"/>
                      <w:szCs w:val="22"/>
                    </w:rPr>
                  </m:ctrlPr>
                </m:dPr>
                <m:e>
                  <m:sSubSup>
                    <m:sSubSupPr>
                      <m:ctrlPr>
                        <w:rPr>
                          <w:rFonts w:ascii="Cambria Math" w:hAnsi="Cambria Math"/>
                          <w:i/>
                          <w:sz w:val="24"/>
                          <w:szCs w:val="22"/>
                        </w:rPr>
                      </m:ctrlPr>
                    </m:sSubSupPr>
                    <m:e>
                      <m:acc>
                        <m:accPr>
                          <m:ctrlPr>
                            <w:rPr>
                              <w:rFonts w:ascii="Cambria Math" w:hAnsi="Cambria Math"/>
                              <w:i/>
                              <w:sz w:val="24"/>
                              <w:szCs w:val="22"/>
                            </w:rPr>
                          </m:ctrlPr>
                        </m:accPr>
                        <m:e>
                          <m:r>
                            <w:rPr>
                              <w:rFonts w:ascii="Cambria Math" w:hAnsi="Cambria Math"/>
                              <w:sz w:val="24"/>
                              <w:szCs w:val="22"/>
                            </w:rPr>
                            <m:t>G</m:t>
                          </m:r>
                        </m:e>
                      </m:acc>
                    </m:e>
                    <m:sub>
                      <m:r>
                        <w:rPr>
                          <w:rFonts w:ascii="Cambria Math" w:hAnsi="Cambria Math"/>
                          <w:sz w:val="24"/>
                          <w:szCs w:val="22"/>
                        </w:rPr>
                        <m:t>N-1, base 2014</m:t>
                      </m:r>
                    </m:sub>
                    <m:sup>
                      <m:r>
                        <w:rPr>
                          <w:rFonts w:ascii="Cambria Math" w:hAnsi="Cambria Math"/>
                          <w:sz w:val="24"/>
                          <w:szCs w:val="22"/>
                        </w:rPr>
                        <m:t>j</m:t>
                      </m:r>
                    </m:sup>
                  </m:sSubSup>
                </m:e>
              </m:d>
            </m:num>
            <m:den>
              <m:nary>
                <m:naryPr>
                  <m:chr m:val="∑"/>
                  <m:limLoc m:val="undOvr"/>
                  <m:supHide m:val="1"/>
                  <m:ctrlPr>
                    <w:rPr>
                      <w:rFonts w:ascii="Cambria Math" w:hAnsi="Cambria Math"/>
                      <w:i/>
                      <w:sz w:val="24"/>
                      <w:szCs w:val="22"/>
                    </w:rPr>
                  </m:ctrlPr>
                </m:naryPr>
                <m:sub>
                  <m:r>
                    <w:rPr>
                      <w:rFonts w:ascii="Cambria Math" w:hAnsi="Cambria Math"/>
                      <w:sz w:val="24"/>
                      <w:szCs w:val="22"/>
                    </w:rPr>
                    <m:t>k non figés</m:t>
                  </m:r>
                </m:sub>
                <m:sup/>
                <m:e>
                  <m:d>
                    <m:dPr>
                      <m:begChr m:val="|"/>
                      <m:endChr m:val="|"/>
                      <m:ctrlPr>
                        <w:rPr>
                          <w:rFonts w:ascii="Cambria Math" w:hAnsi="Cambria Math"/>
                          <w:i/>
                          <w:sz w:val="24"/>
                          <w:szCs w:val="22"/>
                        </w:rPr>
                      </m:ctrlPr>
                    </m:dPr>
                    <m:e>
                      <m:sSubSup>
                        <m:sSubSupPr>
                          <m:ctrlPr>
                            <w:rPr>
                              <w:rFonts w:ascii="Cambria Math" w:hAnsi="Cambria Math"/>
                              <w:i/>
                              <w:sz w:val="24"/>
                              <w:szCs w:val="22"/>
                            </w:rPr>
                          </m:ctrlPr>
                        </m:sSubSupPr>
                        <m:e>
                          <m:acc>
                            <m:accPr>
                              <m:ctrlPr>
                                <w:rPr>
                                  <w:rFonts w:ascii="Cambria Math" w:hAnsi="Cambria Math"/>
                                  <w:i/>
                                  <w:sz w:val="24"/>
                                  <w:szCs w:val="22"/>
                                </w:rPr>
                              </m:ctrlPr>
                            </m:accPr>
                            <m:e>
                              <m:r>
                                <w:rPr>
                                  <w:rFonts w:ascii="Cambria Math" w:hAnsi="Cambria Math"/>
                                  <w:sz w:val="24"/>
                                  <w:szCs w:val="22"/>
                                </w:rPr>
                                <m:t>G</m:t>
                              </m:r>
                            </m:e>
                          </m:acc>
                        </m:e>
                        <m:sub>
                          <m:r>
                            <w:rPr>
                              <w:rFonts w:ascii="Cambria Math" w:hAnsi="Cambria Math"/>
                              <w:sz w:val="24"/>
                              <w:szCs w:val="22"/>
                            </w:rPr>
                            <m:t>N-1, base 2014</m:t>
                          </m:r>
                        </m:sub>
                        <m:sup>
                          <m:r>
                            <w:rPr>
                              <w:rFonts w:ascii="Cambria Math" w:hAnsi="Cambria Math"/>
                              <w:sz w:val="24"/>
                              <w:szCs w:val="22"/>
                            </w:rPr>
                            <m:t>k</m:t>
                          </m:r>
                        </m:sup>
                      </m:sSubSup>
                    </m:e>
                  </m:d>
                </m:e>
              </m:nary>
            </m:den>
          </m:f>
          <m:d>
            <m:dPr>
              <m:ctrlPr>
                <w:rPr>
                  <w:rFonts w:ascii="Cambria Math" w:hAnsi="Cambria Math"/>
                  <w:i/>
                  <w:sz w:val="24"/>
                  <w:szCs w:val="22"/>
                </w:rPr>
              </m:ctrlPr>
            </m:dPr>
            <m:e>
              <m:sSubSup>
                <m:sSubSupPr>
                  <m:ctrlPr>
                    <w:rPr>
                      <w:rFonts w:ascii="Cambria Math" w:hAnsi="Cambria Math"/>
                      <w:i/>
                      <w:sz w:val="24"/>
                      <w:szCs w:val="22"/>
                    </w:rPr>
                  </m:ctrlPr>
                </m:sSubSupPr>
                <m:e>
                  <m:r>
                    <w:rPr>
                      <w:rFonts w:ascii="Cambria Math" w:hAnsi="Cambria Math"/>
                      <w:sz w:val="24"/>
                      <w:szCs w:val="22"/>
                    </w:rPr>
                    <m:t>G</m:t>
                  </m:r>
                </m:e>
                <m:sub>
                  <m:r>
                    <w:rPr>
                      <w:rFonts w:ascii="Cambria Math" w:hAnsi="Cambria Math"/>
                      <w:sz w:val="24"/>
                      <w:szCs w:val="22"/>
                    </w:rPr>
                    <m:t>N-1, base 2014</m:t>
                  </m:r>
                </m:sub>
                <m:sup>
                  <m:r>
                    <w:rPr>
                      <w:rFonts w:ascii="Cambria Math" w:hAnsi="Cambria Math"/>
                      <w:sz w:val="24"/>
                      <w:szCs w:val="22"/>
                    </w:rPr>
                    <m:t>total</m:t>
                  </m:r>
                </m:sup>
              </m:sSubSup>
              <m:r>
                <w:rPr>
                  <w:rFonts w:ascii="Cambria Math" w:hAnsi="Cambria Math"/>
                  <w:sz w:val="24"/>
                  <w:szCs w:val="22"/>
                </w:rPr>
                <m:t>-</m:t>
              </m:r>
              <m:nary>
                <m:naryPr>
                  <m:chr m:val="∑"/>
                  <m:limLoc m:val="undOvr"/>
                  <m:supHide m:val="1"/>
                  <m:ctrlPr>
                    <w:rPr>
                      <w:rFonts w:ascii="Cambria Math" w:hAnsi="Cambria Math"/>
                      <w:i/>
                      <w:sz w:val="24"/>
                      <w:szCs w:val="22"/>
                    </w:rPr>
                  </m:ctrlPr>
                </m:naryPr>
                <m:sub>
                  <m:r>
                    <w:rPr>
                      <w:rFonts w:ascii="Cambria Math" w:hAnsi="Cambria Math"/>
                      <w:sz w:val="24"/>
                      <w:szCs w:val="22"/>
                    </w:rPr>
                    <m:t xml:space="preserve">i figés </m:t>
                  </m:r>
                </m:sub>
                <m:sup/>
                <m:e>
                  <m:sSubSup>
                    <m:sSubSupPr>
                      <m:ctrlPr>
                        <w:rPr>
                          <w:rFonts w:ascii="Cambria Math" w:hAnsi="Cambria Math"/>
                          <w:i/>
                          <w:sz w:val="24"/>
                          <w:szCs w:val="22"/>
                        </w:rPr>
                      </m:ctrlPr>
                    </m:sSubSupPr>
                    <m:e>
                      <m:acc>
                        <m:accPr>
                          <m:ctrlPr>
                            <w:rPr>
                              <w:rFonts w:ascii="Cambria Math" w:hAnsi="Cambria Math"/>
                              <w:i/>
                              <w:sz w:val="24"/>
                              <w:szCs w:val="22"/>
                            </w:rPr>
                          </m:ctrlPr>
                        </m:accPr>
                        <m:e>
                          <m:r>
                            <w:rPr>
                              <w:rFonts w:ascii="Cambria Math" w:hAnsi="Cambria Math"/>
                              <w:sz w:val="24"/>
                              <w:szCs w:val="22"/>
                            </w:rPr>
                            <m:t>G</m:t>
                          </m:r>
                        </m:e>
                      </m:acc>
                    </m:e>
                    <m:sub>
                      <m:r>
                        <w:rPr>
                          <w:rFonts w:ascii="Cambria Math" w:hAnsi="Cambria Math"/>
                          <w:sz w:val="24"/>
                          <w:szCs w:val="22"/>
                        </w:rPr>
                        <m:t>N-1, base 2014</m:t>
                      </m:r>
                    </m:sub>
                    <m:sup>
                      <m:r>
                        <w:rPr>
                          <w:rFonts w:ascii="Cambria Math" w:hAnsi="Cambria Math"/>
                          <w:sz w:val="24"/>
                          <w:szCs w:val="22"/>
                        </w:rPr>
                        <m:t>i</m:t>
                      </m:r>
                    </m:sup>
                  </m:sSubSup>
                </m:e>
              </m:nary>
            </m:e>
          </m:d>
        </m:oMath>
      </m:oMathPara>
    </w:p>
    <w:p w:rsidR="0080460B" w:rsidRDefault="0080460B" w:rsidP="0080460B">
      <w:pPr>
        <w:jc w:val="both"/>
        <w:rPr>
          <w:sz w:val="22"/>
          <w:szCs w:val="22"/>
        </w:rPr>
      </w:pPr>
    </w:p>
    <w:p w:rsidR="0080460B" w:rsidRDefault="0080460B" w:rsidP="0080460B">
      <w:pPr>
        <w:keepNext/>
        <w:spacing w:before="240" w:after="120"/>
        <w:ind w:left="567" w:hanging="567"/>
        <w:outlineLvl w:val="3"/>
        <w:rPr>
          <w:rFonts w:ascii="Arial" w:hAnsi="Arial" w:cs="Arial"/>
          <w:color w:val="4F81BD" w:themeColor="accent1"/>
          <w:sz w:val="22"/>
          <w:szCs w:val="22"/>
        </w:rPr>
      </w:pPr>
      <w:r>
        <w:rPr>
          <w:rFonts w:ascii="Arial" w:hAnsi="Arial" w:cs="Arial"/>
          <w:color w:val="4F81BD" w:themeColor="accent1"/>
          <w:sz w:val="22"/>
          <w:szCs w:val="22"/>
        </w:rPr>
        <w:lastRenderedPageBreak/>
        <w:t>3</w:t>
      </w:r>
      <w:r w:rsidRPr="00CE3E76">
        <w:rPr>
          <w:rFonts w:ascii="Arial" w:hAnsi="Arial" w:cs="Arial"/>
          <w:color w:val="4F81BD" w:themeColor="accent1"/>
          <w:sz w:val="22"/>
          <w:szCs w:val="22"/>
        </w:rPr>
        <w:t>.</w:t>
      </w:r>
      <w:r>
        <w:rPr>
          <w:rFonts w:ascii="Arial" w:hAnsi="Arial" w:cs="Arial"/>
          <w:color w:val="4F81BD" w:themeColor="accent1"/>
          <w:sz w:val="22"/>
          <w:szCs w:val="22"/>
        </w:rPr>
        <w:t>3</w:t>
      </w:r>
      <w:r w:rsidRPr="00CE3E76">
        <w:rPr>
          <w:rFonts w:ascii="Arial" w:hAnsi="Arial" w:cs="Arial"/>
          <w:color w:val="4F81BD" w:themeColor="accent1"/>
          <w:sz w:val="22"/>
          <w:szCs w:val="22"/>
        </w:rPr>
        <w:t>.</w:t>
      </w:r>
      <w:r w:rsidRPr="00CE3E76">
        <w:rPr>
          <w:rFonts w:ascii="Arial" w:hAnsi="Arial" w:cs="Arial"/>
          <w:color w:val="4F81BD" w:themeColor="accent1"/>
          <w:sz w:val="22"/>
          <w:szCs w:val="22"/>
        </w:rPr>
        <w:tab/>
      </w:r>
      <w:r w:rsidRPr="0080460B">
        <w:rPr>
          <w:rFonts w:ascii="Arial" w:hAnsi="Arial" w:cs="Arial"/>
          <w:color w:val="4F81BD" w:themeColor="accent1"/>
          <w:sz w:val="22"/>
          <w:szCs w:val="22"/>
        </w:rPr>
        <w:t>Rétropolation des autres changements de volume, déduction des flux et ajustements manuels</w:t>
      </w:r>
    </w:p>
    <w:p w:rsidR="0080460B" w:rsidRDefault="0080460B" w:rsidP="0080460B">
      <w:pPr>
        <w:jc w:val="both"/>
        <w:rPr>
          <w:sz w:val="22"/>
          <w:szCs w:val="22"/>
        </w:rPr>
      </w:pPr>
    </w:p>
    <w:p w:rsidR="00AA1C04" w:rsidRPr="00AA1C04" w:rsidRDefault="00AA1C04" w:rsidP="00AA1C04">
      <w:pPr>
        <w:jc w:val="both"/>
        <w:rPr>
          <w:rFonts w:ascii="Arial" w:hAnsi="Arial" w:cs="Arial"/>
          <w:szCs w:val="22"/>
        </w:rPr>
      </w:pPr>
      <w:r w:rsidRPr="00AA1C04">
        <w:rPr>
          <w:rFonts w:ascii="Arial" w:hAnsi="Arial" w:cs="Arial"/>
          <w:szCs w:val="22"/>
        </w:rPr>
        <w:t>Comme expliqué précédemment, suite à plusieurs tests, nous avons décidé de finir la rétropolation sur les autres changements de volume et de déduire les flux de la connaissance de toutes les autres valeurs plutôt que l’inverse. Cependant, la rétropolation des autres changements de volume est elle-même très difficile et pose quelques questions délicates dès lors qu’on veut l’automatiser. En effet, en général, faut-il mieux conserver les autres changements de volume de la base 2000 tels quels en supposant qu’ils sont liés à des évènements particuliers qui n’ont pas vocation à être réajustés ? Ou bien, en particulier quand les encours ont largement été revus, faut-il mieux revoir les autres changements de volume à proportion des changements d’encours entre les deux bases ? En principe, la réponse à ces questions doit dépendre au cas par cas de la nature sous-jacente des autres changements de volume (reclassification, changement méthodologique, etc). Ces informations qualitatives sont documentées pour les années les plus récentes ; en revanche, la sauvegarde disponible de la base 2000 contient les séries chronologiques mais pas les métadonnées associées. Il a donc été en pratique nécessaire d’arbitrer une méthode systématique tout en gardant un œil critique sur les résultats obtenus.</w:t>
      </w:r>
    </w:p>
    <w:p w:rsidR="00AA1C04" w:rsidRPr="00AA1C04" w:rsidRDefault="00AA1C04" w:rsidP="00AA1C04">
      <w:pPr>
        <w:jc w:val="both"/>
        <w:rPr>
          <w:rFonts w:ascii="Arial" w:hAnsi="Arial" w:cs="Arial"/>
          <w:szCs w:val="22"/>
        </w:rPr>
      </w:pPr>
      <w:r w:rsidRPr="00AA1C04">
        <w:rPr>
          <w:rFonts w:ascii="Arial" w:hAnsi="Arial" w:cs="Arial"/>
          <w:szCs w:val="22"/>
        </w:rPr>
        <w:t>Nous sommes partis sur une première base de changements de volume conservés à l’identique puisqu’il s’agit dans la plus grande partie des cas de reclassifications (d’instruments ou de secteurs par exemple) qui ont plutôt vocation à rester inchangés. Toutefois, nous avons complété ce choix par quelques exceptions, qui permettent de capter le gros des cas où on voudrait utiliser un choix alternatif. En particulier, si les encours en base 2014 sont devenu nuls ou ont baissé de manière très importante, il n’apparait pas opportun de conserver des autres changements de volume non nuls et on les annule donc en nouvelle base. Cela évite de déduire des flux de transactions plus ou moins opposés aux changements de volume pour des encours nuls ou très faibles et ne variant que peu. De même, si pour des couples d’instruments financiers et de secteurs, des encours apparaissent à partir d’une certaine date (nouvelle source ou changement méthodologique n’ayant déjà pas été rétropolés au sein de la base 2000), ces apparitions d’encours sont intégralement supportées par les autres changements de volume (a priori, comme en base 2000 mais pas forcément pour les mêmes montants du fait des autres changements méthodologiques).</w:t>
      </w:r>
    </w:p>
    <w:p w:rsidR="00AA1C04" w:rsidRPr="00AA1C04" w:rsidRDefault="00AA1C04" w:rsidP="00AA1C04">
      <w:pPr>
        <w:jc w:val="both"/>
        <w:rPr>
          <w:rFonts w:ascii="Arial" w:hAnsi="Arial" w:cs="Arial"/>
          <w:szCs w:val="22"/>
        </w:rPr>
      </w:pPr>
      <w:r w:rsidRPr="00AA1C04">
        <w:rPr>
          <w:rFonts w:ascii="Arial" w:hAnsi="Arial" w:cs="Arial"/>
          <w:szCs w:val="22"/>
        </w:rPr>
        <w:t>Enfin, comme pour les encours et les réévaluations, il y a une divergence entre la somme des secteurs et le total pour un instrument financier. On procède exactement de la même façon, en gardant identiques les changements de volume sur les séries figées et en ajustant les autres au prorata des autres changements de volume déjà estimés.</w:t>
      </w:r>
    </w:p>
    <w:p w:rsidR="00AA1C04" w:rsidRPr="00AA1C04" w:rsidRDefault="00AA1C04" w:rsidP="00AA1C04">
      <w:pPr>
        <w:jc w:val="both"/>
        <w:rPr>
          <w:rFonts w:ascii="Arial" w:hAnsi="Arial" w:cs="Arial"/>
          <w:szCs w:val="22"/>
        </w:rPr>
      </w:pPr>
      <w:r w:rsidRPr="00AA1C04">
        <w:rPr>
          <w:rFonts w:ascii="Arial" w:hAnsi="Arial" w:cs="Arial"/>
          <w:szCs w:val="22"/>
        </w:rPr>
        <w:t>Une fois cette première estimation des autres changements de volume effectuée, on déduit les flux de transaction par simple égalité comptable :</w:t>
      </w:r>
    </w:p>
    <w:p w:rsidR="00AA1C04" w:rsidRPr="00AA1C04" w:rsidRDefault="00AA1C04" w:rsidP="00AA1C04">
      <w:pPr>
        <w:jc w:val="both"/>
        <w:rPr>
          <w:sz w:val="22"/>
          <w:szCs w:val="22"/>
        </w:rPr>
      </w:pPr>
      <m:oMathPara>
        <m:oMath>
          <m:r>
            <w:rPr>
              <w:rFonts w:ascii="Cambria Math" w:hAnsi="Cambria Math"/>
              <w:sz w:val="24"/>
              <w:szCs w:val="22"/>
            </w:rPr>
            <m:t>Flu</m:t>
          </m:r>
          <m:sSub>
            <m:sSubPr>
              <m:ctrlPr>
                <w:rPr>
                  <w:rFonts w:ascii="Cambria Math" w:hAnsi="Cambria Math"/>
                  <w:i/>
                  <w:sz w:val="24"/>
                  <w:szCs w:val="22"/>
                </w:rPr>
              </m:ctrlPr>
            </m:sSubPr>
            <m:e>
              <m:r>
                <w:rPr>
                  <w:rFonts w:ascii="Cambria Math" w:hAnsi="Cambria Math"/>
                  <w:sz w:val="24"/>
                  <w:szCs w:val="22"/>
                </w:rPr>
                <m:t>x</m:t>
              </m:r>
            </m:e>
            <m:sub>
              <m:r>
                <w:rPr>
                  <w:rFonts w:ascii="Cambria Math" w:hAnsi="Cambria Math"/>
                  <w:sz w:val="24"/>
                  <w:szCs w:val="22"/>
                </w:rPr>
                <m:t>t</m:t>
              </m:r>
            </m:sub>
          </m:sSub>
          <m:r>
            <w:rPr>
              <w:rFonts w:ascii="Cambria Math" w:hAnsi="Cambria Math"/>
              <w:sz w:val="24"/>
              <w:szCs w:val="22"/>
            </w:rPr>
            <m:t>= Encour</m:t>
          </m:r>
          <m:sSub>
            <m:sSubPr>
              <m:ctrlPr>
                <w:rPr>
                  <w:rFonts w:ascii="Cambria Math" w:hAnsi="Cambria Math"/>
                  <w:i/>
                  <w:sz w:val="24"/>
                  <w:szCs w:val="22"/>
                </w:rPr>
              </m:ctrlPr>
            </m:sSubPr>
            <m:e>
              <m:r>
                <w:rPr>
                  <w:rFonts w:ascii="Cambria Math" w:hAnsi="Cambria Math"/>
                  <w:sz w:val="24"/>
                  <w:szCs w:val="22"/>
                </w:rPr>
                <m:t>s</m:t>
              </m:r>
            </m:e>
            <m:sub>
              <m:r>
                <w:rPr>
                  <w:rFonts w:ascii="Cambria Math" w:hAnsi="Cambria Math"/>
                  <w:sz w:val="24"/>
                  <w:szCs w:val="22"/>
                </w:rPr>
                <m:t>t</m:t>
              </m:r>
            </m:sub>
          </m:sSub>
          <m:r>
            <w:rPr>
              <w:rFonts w:ascii="Cambria Math" w:hAnsi="Cambria Math"/>
              <w:sz w:val="24"/>
              <w:szCs w:val="22"/>
            </w:rPr>
            <m:t>-Encour</m:t>
          </m:r>
          <m:sSub>
            <m:sSubPr>
              <m:ctrlPr>
                <w:rPr>
                  <w:rFonts w:ascii="Cambria Math" w:hAnsi="Cambria Math"/>
                  <w:i/>
                  <w:sz w:val="24"/>
                  <w:szCs w:val="22"/>
                </w:rPr>
              </m:ctrlPr>
            </m:sSubPr>
            <m:e>
              <m:r>
                <w:rPr>
                  <w:rFonts w:ascii="Cambria Math" w:hAnsi="Cambria Math"/>
                  <w:sz w:val="24"/>
                  <w:szCs w:val="22"/>
                </w:rPr>
                <m:t>s</m:t>
              </m:r>
            </m:e>
            <m:sub>
              <m:r>
                <w:rPr>
                  <w:rFonts w:ascii="Cambria Math" w:hAnsi="Cambria Math"/>
                  <w:sz w:val="24"/>
                  <w:szCs w:val="22"/>
                </w:rPr>
                <m:t>t-1</m:t>
              </m:r>
            </m:sub>
          </m:sSub>
          <m:r>
            <w:rPr>
              <w:rFonts w:ascii="Cambria Math" w:hAnsi="Cambria Math"/>
              <w:sz w:val="24"/>
              <w:szCs w:val="22"/>
            </w:rPr>
            <m:t>-</m:t>
          </m:r>
          <m:r>
            <w:rPr>
              <w:rFonts w:ascii="Cambria Math" w:hAnsi="Cambria Math"/>
              <w:sz w:val="28"/>
              <w:szCs w:val="22"/>
            </w:rPr>
            <m:t>Réévaluatio</m:t>
          </m:r>
          <m:sSub>
            <m:sSubPr>
              <m:ctrlPr>
                <w:rPr>
                  <w:rFonts w:ascii="Cambria Math" w:hAnsi="Cambria Math"/>
                  <w:i/>
                  <w:sz w:val="24"/>
                  <w:szCs w:val="22"/>
                </w:rPr>
              </m:ctrlPr>
            </m:sSubPr>
            <m:e>
              <m:r>
                <w:rPr>
                  <w:rFonts w:ascii="Cambria Math" w:hAnsi="Cambria Math"/>
                  <w:sz w:val="24"/>
                  <w:szCs w:val="22"/>
                </w:rPr>
                <m:t>n</m:t>
              </m:r>
            </m:e>
            <m:sub>
              <m:r>
                <w:rPr>
                  <w:rFonts w:ascii="Cambria Math" w:hAnsi="Cambria Math"/>
                  <w:sz w:val="24"/>
                  <w:szCs w:val="22"/>
                </w:rPr>
                <m:t>t</m:t>
              </m:r>
            </m:sub>
          </m:sSub>
          <m:r>
            <w:rPr>
              <w:rFonts w:ascii="Cambria Math" w:hAnsi="Cambria Math"/>
              <w:sz w:val="24"/>
              <w:szCs w:val="22"/>
            </w:rPr>
            <m:t>-Autres changements de volum</m:t>
          </m:r>
          <m:sSub>
            <m:sSubPr>
              <m:ctrlPr>
                <w:rPr>
                  <w:rFonts w:ascii="Cambria Math" w:hAnsi="Cambria Math"/>
                  <w:i/>
                  <w:sz w:val="24"/>
                  <w:szCs w:val="22"/>
                </w:rPr>
              </m:ctrlPr>
            </m:sSubPr>
            <m:e>
              <m:r>
                <w:rPr>
                  <w:rFonts w:ascii="Cambria Math" w:hAnsi="Cambria Math"/>
                  <w:sz w:val="24"/>
                  <w:szCs w:val="22"/>
                </w:rPr>
                <m:t>e</m:t>
              </m:r>
            </m:e>
            <m:sub>
              <m:r>
                <w:rPr>
                  <w:rFonts w:ascii="Cambria Math" w:hAnsi="Cambria Math"/>
                  <w:sz w:val="24"/>
                  <w:szCs w:val="22"/>
                </w:rPr>
                <m:t>t</m:t>
              </m:r>
            </m:sub>
          </m:sSub>
          <m:r>
            <w:rPr>
              <w:rFonts w:ascii="Cambria Math" w:hAnsi="Cambria Math"/>
              <w:sz w:val="24"/>
              <w:szCs w:val="22"/>
            </w:rPr>
            <m:t xml:space="preserve"> </m:t>
          </m:r>
        </m:oMath>
      </m:oMathPara>
    </w:p>
    <w:p w:rsidR="00AA1C04" w:rsidRPr="00AA1C04" w:rsidRDefault="00AA1C04" w:rsidP="00AA1C04">
      <w:pPr>
        <w:jc w:val="both"/>
        <w:rPr>
          <w:sz w:val="22"/>
          <w:szCs w:val="22"/>
        </w:rPr>
      </w:pPr>
    </w:p>
    <w:p w:rsidR="00AA1C04" w:rsidRPr="00AA1C04" w:rsidRDefault="00AA1C04" w:rsidP="00AA1C04">
      <w:pPr>
        <w:jc w:val="both"/>
        <w:rPr>
          <w:rFonts w:ascii="Arial" w:hAnsi="Arial" w:cs="Arial"/>
          <w:szCs w:val="22"/>
        </w:rPr>
      </w:pPr>
      <w:r w:rsidRPr="00AA1C04">
        <w:rPr>
          <w:rFonts w:ascii="Arial" w:hAnsi="Arial" w:cs="Arial"/>
          <w:szCs w:val="22"/>
        </w:rPr>
        <w:t xml:space="preserve">Une fois ce premier travail effectué, nous avons parcouru manuellement les près de 3000 séries statistiques concernées afin de voir si d’autres ajustements de volume n’étaient pas nécessaires. En particulier, nous avons été attentifs : </w:t>
      </w:r>
    </w:p>
    <w:p w:rsidR="00AA1C04" w:rsidRPr="00AA1C04" w:rsidRDefault="00AA1C04" w:rsidP="00AA1C04">
      <w:pPr>
        <w:numPr>
          <w:ilvl w:val="0"/>
          <w:numId w:val="37"/>
        </w:numPr>
        <w:jc w:val="both"/>
        <w:rPr>
          <w:rFonts w:ascii="Arial" w:hAnsi="Arial" w:cs="Arial"/>
          <w:szCs w:val="22"/>
        </w:rPr>
      </w:pPr>
      <w:r w:rsidRPr="00AA1C04">
        <w:rPr>
          <w:rFonts w:ascii="Arial" w:hAnsi="Arial" w:cs="Arial"/>
          <w:szCs w:val="22"/>
        </w:rPr>
        <w:t>à des flux rétropolés qui différeraient trop significativement ou sans justification visible entre la base 2000 et la base 2014 rétropolée, et en particulier à des pics à l’occasion de changements de volume concomitants et potentiellement mal rétropolés par les procédures automatiques ;</w:t>
      </w:r>
    </w:p>
    <w:p w:rsidR="00AA1C04" w:rsidRPr="00AA1C04" w:rsidRDefault="00AA1C04" w:rsidP="00AA1C04">
      <w:pPr>
        <w:numPr>
          <w:ilvl w:val="0"/>
          <w:numId w:val="37"/>
        </w:numPr>
        <w:jc w:val="both"/>
        <w:rPr>
          <w:rFonts w:ascii="Arial" w:hAnsi="Arial" w:cs="Arial"/>
          <w:szCs w:val="22"/>
        </w:rPr>
      </w:pPr>
      <w:r w:rsidRPr="00AA1C04">
        <w:rPr>
          <w:rFonts w:ascii="Arial" w:hAnsi="Arial" w:cs="Arial"/>
          <w:szCs w:val="22"/>
        </w:rPr>
        <w:t>de même, à des flux de transaction et d’autres changements de volume importants et de sens contraires qui pourraient être un signe d’un potentiel problème.</w:t>
      </w:r>
    </w:p>
    <w:p w:rsidR="00AA1C04" w:rsidRPr="00AA1C04" w:rsidRDefault="00AA1C04" w:rsidP="00AA1C04">
      <w:pPr>
        <w:jc w:val="both"/>
        <w:rPr>
          <w:i/>
          <w:iCs/>
          <w:sz w:val="22"/>
          <w:szCs w:val="22"/>
        </w:rPr>
      </w:pPr>
      <w:r w:rsidRPr="00AA1C04">
        <w:rPr>
          <w:i/>
          <w:iCs/>
          <w:noProof/>
          <w:sz w:val="22"/>
          <w:szCs w:val="22"/>
        </w:rPr>
        <w:lastRenderedPageBreak/>
        <w:drawing>
          <wp:inline distT="0" distB="0" distL="0" distR="0" wp14:anchorId="03BD63DB" wp14:editId="13AC6E40">
            <wp:extent cx="5364889" cy="3269673"/>
            <wp:effectExtent l="0" t="0" r="7620" b="698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82948" cy="3280679"/>
                    </a:xfrm>
                    <a:prstGeom prst="rect">
                      <a:avLst/>
                    </a:prstGeom>
                  </pic:spPr>
                </pic:pic>
              </a:graphicData>
            </a:graphic>
          </wp:inline>
        </w:drawing>
      </w:r>
    </w:p>
    <w:p w:rsidR="00AA1C04" w:rsidRPr="00AA1C04" w:rsidRDefault="00AA1C04" w:rsidP="00AA1C04">
      <w:pPr>
        <w:jc w:val="both"/>
        <w:rPr>
          <w:i/>
          <w:iCs/>
          <w:sz w:val="22"/>
          <w:szCs w:val="22"/>
        </w:rPr>
      </w:pPr>
      <w:r w:rsidRPr="00AA1C04">
        <w:rPr>
          <w:i/>
          <w:iCs/>
          <w:sz w:val="22"/>
          <w:szCs w:val="22"/>
        </w:rPr>
        <w:t xml:space="preserve"> Graphique 3 : Exemple d’une série dont le flux spontanément disproportionné en 1994 a été ajusté à l’aide d’un changement de volume</w:t>
      </w:r>
    </w:p>
    <w:p w:rsidR="00AA1C04" w:rsidRPr="00AA1C04" w:rsidRDefault="00AA1C04" w:rsidP="00AA1C04">
      <w:pPr>
        <w:jc w:val="both"/>
        <w:rPr>
          <w:sz w:val="22"/>
          <w:szCs w:val="22"/>
        </w:rPr>
      </w:pPr>
    </w:p>
    <w:p w:rsidR="00AA1C04" w:rsidRDefault="00AA1C04" w:rsidP="00AA1C04">
      <w:pPr>
        <w:jc w:val="both"/>
        <w:rPr>
          <w:rFonts w:ascii="Arial" w:hAnsi="Arial" w:cs="Arial"/>
          <w:szCs w:val="22"/>
        </w:rPr>
      </w:pPr>
      <w:r w:rsidRPr="00AA1C04">
        <w:rPr>
          <w:noProof/>
          <w:sz w:val="22"/>
          <w:szCs w:val="22"/>
        </w:rPr>
        <w:drawing>
          <wp:inline distT="0" distB="0" distL="0" distR="0" wp14:anchorId="590E4EBC" wp14:editId="14EF7910">
            <wp:extent cx="5352539" cy="3279256"/>
            <wp:effectExtent l="0" t="0" r="63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74255" cy="3292560"/>
                    </a:xfrm>
                    <a:prstGeom prst="rect">
                      <a:avLst/>
                    </a:prstGeom>
                  </pic:spPr>
                </pic:pic>
              </a:graphicData>
            </a:graphic>
          </wp:inline>
        </w:drawing>
      </w:r>
      <w:r w:rsidRPr="00AA1C04">
        <w:rPr>
          <w:rFonts w:ascii="Arial" w:hAnsi="Arial" w:cs="Arial"/>
          <w:szCs w:val="22"/>
        </w:rPr>
        <w:t>Graphique 4 : Exemple d’une série dont les changements de volume avant 1995 ont été neutralisés afin d’éviter des flux symétriques de sens contraire</w:t>
      </w:r>
    </w:p>
    <w:p w:rsidR="00AA1C04" w:rsidRPr="00AA1C04" w:rsidRDefault="00AA1C04" w:rsidP="00AA1C04">
      <w:pPr>
        <w:jc w:val="both"/>
        <w:rPr>
          <w:rFonts w:ascii="Arial" w:hAnsi="Arial" w:cs="Arial"/>
          <w:szCs w:val="22"/>
        </w:rPr>
      </w:pPr>
    </w:p>
    <w:p w:rsidR="00AA1C04" w:rsidRPr="00AA1C04" w:rsidRDefault="00AA1C04" w:rsidP="00AA1C04">
      <w:pPr>
        <w:jc w:val="both"/>
        <w:rPr>
          <w:rFonts w:ascii="Arial" w:hAnsi="Arial" w:cs="Arial"/>
          <w:szCs w:val="22"/>
        </w:rPr>
      </w:pPr>
      <w:r w:rsidRPr="00AA1C04">
        <w:rPr>
          <w:rFonts w:ascii="Arial" w:hAnsi="Arial" w:cs="Arial"/>
          <w:szCs w:val="22"/>
        </w:rPr>
        <w:t xml:space="preserve">Enfin, nous avons regardé tout particulièrement la somme des flux de transaction par secteurs qui forment la capacité/besoin de financement de ces secteurs. Cette valeur, issue des comptes financiers, était déjà en cohérence en base 2000 avec cette même valeur issue des comptes non financiers produits par l’INSEE, soit grâce à des travaux structurels joints entre la Banque de France et l’INSEE (le plus souvent lors des changements de base des comptes nationaux), soit, en cours de base, par le biais d’ajustements sur les séries statistiques les moins précises (en pratique, dans les comptes financiers, les autres comptes à recevoir ou à payer sont souvent utilisés pour ce faire). Comme nous souhaitons conserver cette cohérence entre comptes non financiers et financiers, nous avons été attentifs à la question dans notre revue manuelle et exhaustive afin de voir si un ajustement plausible de certains autres changements de volume ne permettait pas d’améliorer la situation. Nous nous sommes également permis de finaliser les ajustements nécessaires pour la cohérence des capacités/besoins de financement via les autres comptes </w:t>
      </w:r>
      <w:r w:rsidRPr="00AA1C04">
        <w:rPr>
          <w:rFonts w:ascii="Arial" w:hAnsi="Arial" w:cs="Arial"/>
          <w:szCs w:val="22"/>
        </w:rPr>
        <w:lastRenderedPageBreak/>
        <w:t>à recevoir ou à payer au besoin, en cohérence avec l’usage qui avait déjà pu être fait dans le passé sur cet instrument pour équilibrer les comptes.</w:t>
      </w:r>
    </w:p>
    <w:p w:rsidR="00AA1C04" w:rsidRPr="00AA1C04" w:rsidRDefault="00AA1C04" w:rsidP="00AA1C04">
      <w:pPr>
        <w:jc w:val="both"/>
        <w:rPr>
          <w:rFonts w:ascii="Arial" w:hAnsi="Arial" w:cs="Arial"/>
          <w:szCs w:val="22"/>
        </w:rPr>
      </w:pPr>
    </w:p>
    <w:p w:rsidR="00AA1C04" w:rsidRPr="00AA1C04" w:rsidRDefault="00AA1C04" w:rsidP="00AA1C04">
      <w:pPr>
        <w:jc w:val="both"/>
        <w:rPr>
          <w:rFonts w:ascii="Arial" w:hAnsi="Arial" w:cs="Arial"/>
          <w:szCs w:val="22"/>
        </w:rPr>
      </w:pPr>
      <w:r w:rsidRPr="00AA1C04">
        <w:rPr>
          <w:rFonts w:ascii="Arial" w:hAnsi="Arial" w:cs="Arial"/>
          <w:szCs w:val="22"/>
        </w:rPr>
        <w:t>En conclusion, le travail de rétropolation nous a donc permis de disposer de 2 836 séries entre 1977 et 2021, à la fois cohérentes avec la période 1995-2021 actuellement couverte par la base 2014 actuelle, mais également avec les séries dans l’ancienne base 2000, après les ajustements méthodologiques nécessaires pour bien faire correspondre les concepts entre les deux bases. Les séries rétropolées</w:t>
      </w:r>
    </w:p>
    <w:p w:rsidR="00AA1C04" w:rsidRPr="00AA1C04" w:rsidRDefault="00AA1C04" w:rsidP="00AA1C04">
      <w:pPr>
        <w:numPr>
          <w:ilvl w:val="0"/>
          <w:numId w:val="38"/>
        </w:numPr>
        <w:jc w:val="both"/>
        <w:rPr>
          <w:rFonts w:ascii="Arial" w:hAnsi="Arial" w:cs="Arial"/>
          <w:szCs w:val="22"/>
        </w:rPr>
      </w:pPr>
      <w:r w:rsidRPr="00AA1C04">
        <w:rPr>
          <w:rFonts w:ascii="Arial" w:hAnsi="Arial" w:cs="Arial"/>
          <w:szCs w:val="22"/>
        </w:rPr>
        <w:t>respectent bien l’articulation entre variation d’encours, flux de transactions, de réévaluation et les autres changements de volume ;</w:t>
      </w:r>
    </w:p>
    <w:p w:rsidR="00AA1C04" w:rsidRPr="00AA1C04" w:rsidRDefault="00AA1C04" w:rsidP="00AA1C04">
      <w:pPr>
        <w:numPr>
          <w:ilvl w:val="0"/>
          <w:numId w:val="38"/>
        </w:numPr>
        <w:jc w:val="both"/>
        <w:rPr>
          <w:rFonts w:ascii="Arial" w:hAnsi="Arial" w:cs="Arial"/>
          <w:szCs w:val="22"/>
        </w:rPr>
      </w:pPr>
      <w:r w:rsidRPr="00AA1C04">
        <w:rPr>
          <w:rFonts w:ascii="Arial" w:hAnsi="Arial" w:cs="Arial"/>
          <w:szCs w:val="22"/>
        </w:rPr>
        <w:t>respectent également toutes les égalités comptables : actifs= passifs, somme des parties égales au total…</w:t>
      </w:r>
    </w:p>
    <w:p w:rsidR="00AA1C04" w:rsidRPr="00AA1C04" w:rsidRDefault="00AA1C04" w:rsidP="00AA1C04">
      <w:pPr>
        <w:numPr>
          <w:ilvl w:val="0"/>
          <w:numId w:val="38"/>
        </w:numPr>
        <w:jc w:val="both"/>
        <w:rPr>
          <w:rFonts w:ascii="Arial" w:hAnsi="Arial" w:cs="Arial"/>
          <w:szCs w:val="22"/>
        </w:rPr>
      </w:pPr>
      <w:r w:rsidRPr="00AA1C04">
        <w:rPr>
          <w:rFonts w:ascii="Arial" w:hAnsi="Arial" w:cs="Arial"/>
          <w:szCs w:val="22"/>
        </w:rPr>
        <w:t>enfin, conservent la cohérence entre comptes non-financiers et comptes financiers par le biais des capacités/besoins de financement de chaque secteur.</w:t>
      </w:r>
    </w:p>
    <w:p w:rsidR="00AA1C04" w:rsidRPr="00AA1C04" w:rsidRDefault="00AA1C04" w:rsidP="00AA1C04">
      <w:pPr>
        <w:jc w:val="both"/>
        <w:rPr>
          <w:sz w:val="22"/>
          <w:szCs w:val="22"/>
        </w:rPr>
      </w:pPr>
    </w:p>
    <w:p w:rsidR="00AA1C04" w:rsidRDefault="00AA1C04" w:rsidP="00AA1C04">
      <w:pPr>
        <w:keepNext/>
        <w:spacing w:before="240" w:after="120"/>
        <w:ind w:left="567" w:hanging="567"/>
        <w:outlineLvl w:val="3"/>
        <w:rPr>
          <w:rFonts w:ascii="Arial" w:hAnsi="Arial" w:cs="Arial"/>
          <w:color w:val="4F81BD" w:themeColor="accent1"/>
          <w:sz w:val="22"/>
          <w:szCs w:val="22"/>
        </w:rPr>
      </w:pPr>
      <w:r>
        <w:rPr>
          <w:rFonts w:ascii="Arial" w:hAnsi="Arial" w:cs="Arial"/>
          <w:color w:val="4F81BD" w:themeColor="accent1"/>
          <w:sz w:val="22"/>
          <w:szCs w:val="22"/>
        </w:rPr>
        <w:t>3</w:t>
      </w:r>
      <w:r w:rsidRPr="00CE3E76">
        <w:rPr>
          <w:rFonts w:ascii="Arial" w:hAnsi="Arial" w:cs="Arial"/>
          <w:color w:val="4F81BD" w:themeColor="accent1"/>
          <w:sz w:val="22"/>
          <w:szCs w:val="22"/>
        </w:rPr>
        <w:t>.</w:t>
      </w:r>
      <w:r>
        <w:rPr>
          <w:rFonts w:ascii="Arial" w:hAnsi="Arial" w:cs="Arial"/>
          <w:color w:val="4F81BD" w:themeColor="accent1"/>
          <w:sz w:val="22"/>
          <w:szCs w:val="22"/>
        </w:rPr>
        <w:t>4</w:t>
      </w:r>
      <w:r w:rsidRPr="00CE3E76">
        <w:rPr>
          <w:rFonts w:ascii="Arial" w:hAnsi="Arial" w:cs="Arial"/>
          <w:color w:val="4F81BD" w:themeColor="accent1"/>
          <w:sz w:val="22"/>
          <w:szCs w:val="22"/>
        </w:rPr>
        <w:t>.</w:t>
      </w:r>
      <w:r w:rsidRPr="00CE3E76">
        <w:rPr>
          <w:rFonts w:ascii="Arial" w:hAnsi="Arial" w:cs="Arial"/>
          <w:color w:val="4F81BD" w:themeColor="accent1"/>
          <w:sz w:val="22"/>
          <w:szCs w:val="22"/>
        </w:rPr>
        <w:tab/>
      </w:r>
      <w:r w:rsidRPr="00AA1C04">
        <w:rPr>
          <w:rFonts w:ascii="Arial" w:hAnsi="Arial" w:cs="Arial"/>
          <w:color w:val="4F81BD" w:themeColor="accent1"/>
          <w:sz w:val="22"/>
          <w:szCs w:val="22"/>
        </w:rPr>
        <w:t>Un cas particulier : la dette consolidée des SNF</w:t>
      </w:r>
    </w:p>
    <w:p w:rsidR="00AA1C04" w:rsidRPr="00AA1C04" w:rsidRDefault="00AA1C04" w:rsidP="00AA1C04">
      <w:pPr>
        <w:jc w:val="both"/>
        <w:rPr>
          <w:rFonts w:ascii="Arial" w:hAnsi="Arial" w:cs="Arial"/>
          <w:szCs w:val="22"/>
        </w:rPr>
      </w:pPr>
      <w:r w:rsidRPr="00AA1C04">
        <w:rPr>
          <w:rFonts w:ascii="Arial" w:hAnsi="Arial" w:cs="Arial"/>
          <w:szCs w:val="22"/>
        </w:rPr>
        <w:t>Le cas de la dette consolidée des SNF a nécessité un traitement particulier. Les composantes pour son calcul ne sont pas nativement présentes dans les séries rétropolées mais des adaptations ont été faites pour quand même disposer de cette série au vu de son importance pour l’analyse et le suivi économique.</w:t>
      </w:r>
    </w:p>
    <w:p w:rsidR="00AA1C04" w:rsidRPr="00AA1C04" w:rsidRDefault="00AA1C04" w:rsidP="00AA1C04">
      <w:pPr>
        <w:jc w:val="both"/>
        <w:rPr>
          <w:rFonts w:ascii="Arial" w:hAnsi="Arial" w:cs="Arial"/>
          <w:szCs w:val="22"/>
        </w:rPr>
      </w:pPr>
      <w:r w:rsidRPr="00AA1C04">
        <w:rPr>
          <w:rFonts w:ascii="Arial" w:hAnsi="Arial" w:cs="Arial"/>
          <w:szCs w:val="22"/>
        </w:rPr>
        <w:t>La dette consolidée des SNF françaises, présentées dans différentes publications telles que le Stat Info « Taux d'endettement des agents non financiers - Comparaisons internationales »</w:t>
      </w:r>
      <w:r w:rsidRPr="00AA1C04">
        <w:rPr>
          <w:rFonts w:ascii="Arial" w:hAnsi="Arial" w:cs="Arial"/>
          <w:szCs w:val="22"/>
          <w:vertAlign w:val="superscript"/>
        </w:rPr>
        <w:footnoteReference w:id="3"/>
      </w:r>
      <w:r w:rsidRPr="00AA1C04">
        <w:rPr>
          <w:rFonts w:ascii="Arial" w:hAnsi="Arial" w:cs="Arial"/>
          <w:szCs w:val="22"/>
        </w:rPr>
        <w:t xml:space="preserve"> est calculée comme la somme :</w:t>
      </w:r>
    </w:p>
    <w:p w:rsidR="00AA1C04" w:rsidRPr="00AA1C04" w:rsidRDefault="00AA1C04" w:rsidP="00AA1C04">
      <w:pPr>
        <w:numPr>
          <w:ilvl w:val="0"/>
          <w:numId w:val="38"/>
        </w:numPr>
        <w:jc w:val="both"/>
        <w:rPr>
          <w:rFonts w:ascii="Arial" w:hAnsi="Arial" w:cs="Arial"/>
          <w:szCs w:val="22"/>
        </w:rPr>
      </w:pPr>
      <w:r w:rsidRPr="00AA1C04">
        <w:rPr>
          <w:rFonts w:ascii="Arial" w:hAnsi="Arial" w:cs="Arial"/>
          <w:szCs w:val="22"/>
        </w:rPr>
        <w:t>des crédits du secteur financier accordés aux SNF. Les prêts accordés par d’autres SNF sont donc exclus (consolidation intra-sectorielle) ;</w:t>
      </w:r>
    </w:p>
    <w:p w:rsidR="00AA1C04" w:rsidRPr="00AA1C04" w:rsidRDefault="00AA1C04" w:rsidP="00AA1C04">
      <w:pPr>
        <w:numPr>
          <w:ilvl w:val="0"/>
          <w:numId w:val="38"/>
        </w:numPr>
        <w:jc w:val="both"/>
        <w:rPr>
          <w:rFonts w:ascii="Arial" w:hAnsi="Arial" w:cs="Arial"/>
          <w:szCs w:val="22"/>
        </w:rPr>
      </w:pPr>
      <w:r w:rsidRPr="00AA1C04">
        <w:rPr>
          <w:rFonts w:ascii="Arial" w:hAnsi="Arial" w:cs="Arial"/>
          <w:szCs w:val="22"/>
        </w:rPr>
        <w:t>des titres de créance au passif des SNF en valeur nominale.</w:t>
      </w:r>
    </w:p>
    <w:p w:rsidR="00AA1C04" w:rsidRPr="00AA1C04" w:rsidRDefault="00AA1C04" w:rsidP="00AA1C04">
      <w:pPr>
        <w:jc w:val="both"/>
        <w:rPr>
          <w:rFonts w:ascii="Arial" w:hAnsi="Arial" w:cs="Arial"/>
          <w:szCs w:val="22"/>
        </w:rPr>
      </w:pPr>
    </w:p>
    <w:p w:rsidR="00AA1C04" w:rsidRPr="00AA1C04" w:rsidRDefault="00AA1C04" w:rsidP="00AA1C04">
      <w:pPr>
        <w:jc w:val="both"/>
        <w:rPr>
          <w:rFonts w:ascii="Arial" w:hAnsi="Arial" w:cs="Arial"/>
          <w:szCs w:val="22"/>
        </w:rPr>
      </w:pPr>
      <w:r w:rsidRPr="00AA1C04">
        <w:rPr>
          <w:rFonts w:ascii="Arial" w:hAnsi="Arial" w:cs="Arial"/>
          <w:szCs w:val="22"/>
        </w:rPr>
        <w:t>Pour plus de détail sur les différents choix de consolidation, on pourra se référer à la note méthodologique accompagnant le Stat Info</w:t>
      </w:r>
      <w:r w:rsidRPr="00AA1C04">
        <w:rPr>
          <w:rFonts w:ascii="Arial" w:hAnsi="Arial" w:cs="Arial"/>
          <w:szCs w:val="22"/>
          <w:vertAlign w:val="superscript"/>
        </w:rPr>
        <w:footnoteReference w:id="4"/>
      </w:r>
      <w:r w:rsidRPr="00AA1C04">
        <w:rPr>
          <w:rFonts w:ascii="Arial" w:hAnsi="Arial" w:cs="Arial"/>
          <w:szCs w:val="22"/>
        </w:rPr>
        <w:t xml:space="preserve">. </w:t>
      </w:r>
    </w:p>
    <w:p w:rsidR="00AA1C04" w:rsidRDefault="00AA1C04" w:rsidP="00AA1C04">
      <w:pPr>
        <w:jc w:val="both"/>
        <w:rPr>
          <w:rFonts w:ascii="Arial" w:hAnsi="Arial" w:cs="Arial"/>
          <w:szCs w:val="22"/>
        </w:rPr>
      </w:pPr>
      <w:r w:rsidRPr="00AA1C04">
        <w:rPr>
          <w:rFonts w:ascii="Arial" w:hAnsi="Arial" w:cs="Arial"/>
          <w:szCs w:val="22"/>
        </w:rPr>
        <w:t>La distinction entre crédits du secteur financier accordés aux SNF et autres types de crédits au passif des SNF existait déjà en base 2000. Les mêmes techniques de rétropolation ont donc été employées, en prenant comme déjà déterminée (car déjà rétropolée) la série du total des crédits au passif des SNF. On regarde alors comment rétropoler la décomposition dans les deux composantes. En pratique, les séries des crédits du secteur financier aux SNF s’avèrent être très proches en base 2000 et en base 2014 et c’est le reste des crédits aux SNF qui supportent les écarts constatés entre les deux bases comme illustré par les graphes ci-dessous. Concrètement, les révisions semblent provenir essentiellement des données sources utilisées sur les entreprises et en particulier sur les crédits intra-SNF résidentes et, dans une moindre mesure, de révision de données de la Balance des Paiements en ce qui concerne les crédits accordés par des entreprises non-résidentes hors du secteur financier).</w:t>
      </w:r>
    </w:p>
    <w:p w:rsidR="00105E77" w:rsidRDefault="00105E77" w:rsidP="00AA1C04">
      <w:pPr>
        <w:jc w:val="both"/>
        <w:rPr>
          <w:rFonts w:ascii="Arial" w:hAnsi="Arial" w:cs="Arial"/>
          <w:szCs w:val="22"/>
        </w:rPr>
      </w:pPr>
    </w:p>
    <w:p w:rsidR="00105E77" w:rsidRPr="00AA1C04" w:rsidRDefault="00105E77" w:rsidP="00AA1C04">
      <w:pPr>
        <w:jc w:val="both"/>
        <w:rPr>
          <w:rFonts w:ascii="Arial" w:hAnsi="Arial" w:cs="Arial"/>
          <w:szCs w:val="22"/>
        </w:rPr>
      </w:pPr>
    </w:p>
    <w:p w:rsidR="00AA1C04" w:rsidRPr="00AA1C04" w:rsidRDefault="00AA1C04" w:rsidP="00AA1C04">
      <w:pPr>
        <w:jc w:val="both"/>
        <w:rPr>
          <w:sz w:val="22"/>
          <w:szCs w:val="22"/>
        </w:rPr>
      </w:pPr>
      <w:r w:rsidRPr="00AA1C04">
        <w:rPr>
          <w:sz w:val="22"/>
          <w:szCs w:val="22"/>
        </w:rPr>
        <w:t xml:space="preserve"> </w:t>
      </w:r>
      <w:r w:rsidRPr="00AA1C04">
        <w:rPr>
          <w:noProof/>
          <w:sz w:val="22"/>
          <w:szCs w:val="22"/>
        </w:rPr>
        <w:drawing>
          <wp:inline distT="0" distB="0" distL="0" distR="0" wp14:anchorId="42040A78" wp14:editId="30126527">
            <wp:extent cx="2705100" cy="1651593"/>
            <wp:effectExtent l="0" t="0" r="0"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31381" cy="1667639"/>
                    </a:xfrm>
                    <a:prstGeom prst="rect">
                      <a:avLst/>
                    </a:prstGeom>
                  </pic:spPr>
                </pic:pic>
              </a:graphicData>
            </a:graphic>
          </wp:inline>
        </w:drawing>
      </w:r>
      <w:r w:rsidRPr="00AA1C04">
        <w:rPr>
          <w:noProof/>
          <w:sz w:val="22"/>
          <w:szCs w:val="22"/>
        </w:rPr>
        <w:drawing>
          <wp:inline distT="0" distB="0" distL="0" distR="0" wp14:anchorId="4CBF4E8D" wp14:editId="623558B4">
            <wp:extent cx="2732681" cy="1648460"/>
            <wp:effectExtent l="0" t="0" r="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51736" cy="1659955"/>
                    </a:xfrm>
                    <a:prstGeom prst="rect">
                      <a:avLst/>
                    </a:prstGeom>
                  </pic:spPr>
                </pic:pic>
              </a:graphicData>
            </a:graphic>
          </wp:inline>
        </w:drawing>
      </w:r>
    </w:p>
    <w:p w:rsidR="00AA1C04" w:rsidRPr="00AA1C04" w:rsidRDefault="00AA1C04" w:rsidP="00AA1C04">
      <w:pPr>
        <w:jc w:val="both"/>
        <w:rPr>
          <w:sz w:val="22"/>
          <w:szCs w:val="22"/>
        </w:rPr>
      </w:pPr>
    </w:p>
    <w:p w:rsidR="00AA1C04" w:rsidRPr="00AA1C04" w:rsidRDefault="00AA1C04" w:rsidP="00AA1C04">
      <w:pPr>
        <w:jc w:val="both"/>
        <w:rPr>
          <w:rFonts w:ascii="Arial" w:hAnsi="Arial" w:cs="Arial"/>
          <w:szCs w:val="22"/>
        </w:rPr>
      </w:pPr>
      <w:r w:rsidRPr="00AA1C04">
        <w:rPr>
          <w:rFonts w:ascii="Arial" w:hAnsi="Arial" w:cs="Arial"/>
          <w:szCs w:val="22"/>
        </w:rPr>
        <w:t xml:space="preserve">En ce qui concerne les titres de créance à la valeur nominale (VN), les statistiques de titre disposent de séries remontant à 1989. Pour remonter au-delà, nous sommes </w:t>
      </w:r>
      <w:r w:rsidR="00105E77" w:rsidRPr="00AA1C04">
        <w:rPr>
          <w:rFonts w:ascii="Arial" w:hAnsi="Arial" w:cs="Arial"/>
          <w:szCs w:val="22"/>
        </w:rPr>
        <w:t>partis</w:t>
      </w:r>
      <w:r w:rsidRPr="00AA1C04">
        <w:rPr>
          <w:rFonts w:ascii="Arial" w:hAnsi="Arial" w:cs="Arial"/>
          <w:szCs w:val="22"/>
        </w:rPr>
        <w:t xml:space="preserve"> des séries d’encours (E) et de réévaluations (G) des titres en valeur de marché (VM) pour recalculer les séries en valeur nominale :</w:t>
      </w:r>
    </w:p>
    <w:p w:rsidR="00AA1C04" w:rsidRPr="00AA1C04" w:rsidRDefault="00D94F51" w:rsidP="00AA1C04">
      <w:pPr>
        <w:jc w:val="both"/>
        <w:rPr>
          <w:sz w:val="22"/>
          <w:szCs w:val="22"/>
        </w:rPr>
      </w:pPr>
      <m:oMathPara>
        <m:oMath>
          <m:sSubSup>
            <m:sSubSupPr>
              <m:ctrlPr>
                <w:rPr>
                  <w:rFonts w:ascii="Cambria Math" w:hAnsi="Cambria Math"/>
                  <w:i/>
                  <w:sz w:val="24"/>
                  <w:szCs w:val="22"/>
                </w:rPr>
              </m:ctrlPr>
            </m:sSubSupPr>
            <m:e>
              <m:r>
                <w:rPr>
                  <w:rFonts w:ascii="Cambria Math" w:hAnsi="Cambria Math"/>
                  <w:sz w:val="24"/>
                  <w:szCs w:val="22"/>
                </w:rPr>
                <m:t>E</m:t>
              </m:r>
            </m:e>
            <m:sub>
              <m:r>
                <w:rPr>
                  <w:rFonts w:ascii="Cambria Math" w:hAnsi="Cambria Math"/>
                  <w:sz w:val="24"/>
                  <w:szCs w:val="22"/>
                </w:rPr>
                <m:t>N-1</m:t>
              </m:r>
            </m:sub>
            <m:sup>
              <m:r>
                <w:rPr>
                  <w:rFonts w:ascii="Cambria Math" w:hAnsi="Cambria Math"/>
                  <w:sz w:val="24"/>
                  <w:szCs w:val="22"/>
                </w:rPr>
                <m:t>VN</m:t>
              </m:r>
            </m:sup>
          </m:sSubSup>
          <m:r>
            <w:rPr>
              <w:rFonts w:ascii="Cambria Math" w:hAnsi="Cambria Math"/>
              <w:sz w:val="24"/>
              <w:szCs w:val="22"/>
            </w:rPr>
            <m:t>=</m:t>
          </m:r>
          <m:sSubSup>
            <m:sSubSupPr>
              <m:ctrlPr>
                <w:rPr>
                  <w:rFonts w:ascii="Cambria Math" w:hAnsi="Cambria Math"/>
                  <w:i/>
                  <w:sz w:val="24"/>
                  <w:szCs w:val="22"/>
                </w:rPr>
              </m:ctrlPr>
            </m:sSubSupPr>
            <m:e>
              <m:r>
                <w:rPr>
                  <w:rFonts w:ascii="Cambria Math" w:hAnsi="Cambria Math"/>
                  <w:sz w:val="24"/>
                  <w:szCs w:val="22"/>
                </w:rPr>
                <m:t>E</m:t>
              </m:r>
            </m:e>
            <m:sub>
              <m:r>
                <w:rPr>
                  <w:rFonts w:ascii="Cambria Math" w:hAnsi="Cambria Math"/>
                  <w:sz w:val="24"/>
                  <w:szCs w:val="22"/>
                </w:rPr>
                <m:t>N</m:t>
              </m:r>
            </m:sub>
            <m:sup>
              <m:r>
                <w:rPr>
                  <w:rFonts w:ascii="Cambria Math" w:hAnsi="Cambria Math"/>
                  <w:sz w:val="24"/>
                  <w:szCs w:val="22"/>
                </w:rPr>
                <m:t>VN</m:t>
              </m:r>
            </m:sup>
          </m:sSubSup>
          <m:r>
            <w:rPr>
              <w:rFonts w:ascii="Cambria Math" w:hAnsi="Cambria Math"/>
              <w:sz w:val="24"/>
              <w:szCs w:val="22"/>
            </w:rPr>
            <m:t>-</m:t>
          </m:r>
          <m:d>
            <m:dPr>
              <m:ctrlPr>
                <w:rPr>
                  <w:rFonts w:ascii="Cambria Math" w:hAnsi="Cambria Math"/>
                  <w:i/>
                  <w:sz w:val="24"/>
                  <w:szCs w:val="22"/>
                </w:rPr>
              </m:ctrlPr>
            </m:dPr>
            <m:e>
              <m:sSubSup>
                <m:sSubSupPr>
                  <m:ctrlPr>
                    <w:rPr>
                      <w:rFonts w:ascii="Cambria Math" w:hAnsi="Cambria Math"/>
                      <w:i/>
                      <w:sz w:val="24"/>
                      <w:szCs w:val="22"/>
                    </w:rPr>
                  </m:ctrlPr>
                </m:sSubSupPr>
                <m:e>
                  <m:r>
                    <w:rPr>
                      <w:rFonts w:ascii="Cambria Math" w:hAnsi="Cambria Math"/>
                      <w:sz w:val="24"/>
                      <w:szCs w:val="22"/>
                    </w:rPr>
                    <m:t>E</m:t>
                  </m:r>
                </m:e>
                <m:sub>
                  <m:r>
                    <w:rPr>
                      <w:rFonts w:ascii="Cambria Math" w:hAnsi="Cambria Math"/>
                      <w:sz w:val="24"/>
                      <w:szCs w:val="22"/>
                    </w:rPr>
                    <m:t>N</m:t>
                  </m:r>
                </m:sub>
                <m:sup>
                  <m:r>
                    <w:rPr>
                      <w:rFonts w:ascii="Cambria Math" w:hAnsi="Cambria Math"/>
                      <w:sz w:val="24"/>
                      <w:szCs w:val="22"/>
                    </w:rPr>
                    <m:t>VM</m:t>
                  </m:r>
                </m:sup>
              </m:sSubSup>
              <m:r>
                <w:rPr>
                  <w:rFonts w:ascii="Cambria Math" w:hAnsi="Cambria Math"/>
                  <w:sz w:val="24"/>
                  <w:szCs w:val="22"/>
                </w:rPr>
                <m:t>-</m:t>
              </m:r>
              <m:sSubSup>
                <m:sSubSupPr>
                  <m:ctrlPr>
                    <w:rPr>
                      <w:rFonts w:ascii="Cambria Math" w:hAnsi="Cambria Math"/>
                      <w:i/>
                      <w:sz w:val="24"/>
                      <w:szCs w:val="22"/>
                    </w:rPr>
                  </m:ctrlPr>
                </m:sSubSupPr>
                <m:e>
                  <m:r>
                    <w:rPr>
                      <w:rFonts w:ascii="Cambria Math" w:hAnsi="Cambria Math"/>
                      <w:sz w:val="24"/>
                      <w:szCs w:val="22"/>
                    </w:rPr>
                    <m:t>E</m:t>
                  </m:r>
                </m:e>
                <m:sub>
                  <m:r>
                    <w:rPr>
                      <w:rFonts w:ascii="Cambria Math" w:hAnsi="Cambria Math"/>
                      <w:sz w:val="24"/>
                      <w:szCs w:val="22"/>
                    </w:rPr>
                    <m:t>N-1</m:t>
                  </m:r>
                </m:sub>
                <m:sup>
                  <m:r>
                    <w:rPr>
                      <w:rFonts w:ascii="Cambria Math" w:hAnsi="Cambria Math"/>
                      <w:sz w:val="24"/>
                      <w:szCs w:val="22"/>
                    </w:rPr>
                    <m:t>VM</m:t>
                  </m:r>
                </m:sup>
              </m:sSubSup>
              <m:r>
                <w:rPr>
                  <w:rFonts w:ascii="Cambria Math" w:hAnsi="Cambria Math"/>
                  <w:sz w:val="24"/>
                  <w:szCs w:val="22"/>
                </w:rPr>
                <m:t>-</m:t>
              </m:r>
              <m:sSubSup>
                <m:sSubSupPr>
                  <m:ctrlPr>
                    <w:rPr>
                      <w:rFonts w:ascii="Cambria Math" w:hAnsi="Cambria Math"/>
                      <w:i/>
                      <w:sz w:val="24"/>
                      <w:szCs w:val="22"/>
                    </w:rPr>
                  </m:ctrlPr>
                </m:sSubSupPr>
                <m:e>
                  <m:r>
                    <w:rPr>
                      <w:rFonts w:ascii="Cambria Math" w:hAnsi="Cambria Math"/>
                      <w:sz w:val="24"/>
                      <w:szCs w:val="22"/>
                    </w:rPr>
                    <m:t>G</m:t>
                  </m:r>
                </m:e>
                <m:sub>
                  <m:r>
                    <w:rPr>
                      <w:rFonts w:ascii="Cambria Math" w:hAnsi="Cambria Math"/>
                      <w:sz w:val="24"/>
                      <w:szCs w:val="22"/>
                    </w:rPr>
                    <m:t>N</m:t>
                  </m:r>
                </m:sub>
                <m:sup>
                  <m:r>
                    <w:rPr>
                      <w:rFonts w:ascii="Cambria Math" w:hAnsi="Cambria Math"/>
                      <w:sz w:val="24"/>
                      <w:szCs w:val="22"/>
                    </w:rPr>
                    <m:t>VM</m:t>
                  </m:r>
                </m:sup>
              </m:sSubSup>
            </m:e>
          </m:d>
        </m:oMath>
      </m:oMathPara>
    </w:p>
    <w:p w:rsidR="00AA1C04" w:rsidRPr="00AA1C04" w:rsidRDefault="00AA1C04" w:rsidP="00AA1C04">
      <w:pPr>
        <w:jc w:val="both"/>
        <w:rPr>
          <w:rFonts w:ascii="Arial" w:hAnsi="Arial" w:cs="Arial"/>
          <w:szCs w:val="22"/>
        </w:rPr>
      </w:pPr>
      <w:r w:rsidRPr="00AA1C04">
        <w:rPr>
          <w:rFonts w:ascii="Arial" w:hAnsi="Arial" w:cs="Arial"/>
          <w:szCs w:val="22"/>
        </w:rPr>
        <w:lastRenderedPageBreak/>
        <w:t>Si on applique cette méthode sur les périodes où on dispose déjà de la valeur nominale, on observe des résultats corrects même si pas tout à fait identiques. L’approximation est donc largement satisfaisante, d’autant plus que le poids des obligations dans la dette des SNF est beaucoup plus faible dans les années 1980 (et qu’on ne parle que d’approximer au mieux la différence entre valeur de marché et valeur nominale, montants déjà relativement proches).</w:t>
      </w:r>
    </w:p>
    <w:p w:rsidR="00AA1C04" w:rsidRDefault="00AA1C04" w:rsidP="0080460B">
      <w:pPr>
        <w:jc w:val="both"/>
        <w:rPr>
          <w:sz w:val="22"/>
          <w:szCs w:val="22"/>
        </w:rPr>
      </w:pPr>
    </w:p>
    <w:p w:rsidR="00AA1C04" w:rsidRDefault="00AA1C04" w:rsidP="0080460B">
      <w:pPr>
        <w:jc w:val="both"/>
        <w:rPr>
          <w:sz w:val="22"/>
          <w:szCs w:val="22"/>
        </w:rPr>
      </w:pPr>
    </w:p>
    <w:p w:rsidR="00AA1C04" w:rsidRDefault="00AA1C04" w:rsidP="0080460B">
      <w:pPr>
        <w:jc w:val="both"/>
        <w:rPr>
          <w:sz w:val="22"/>
          <w:szCs w:val="22"/>
        </w:rPr>
      </w:pPr>
    </w:p>
    <w:p w:rsidR="00AA1C04" w:rsidRDefault="00AA1C04" w:rsidP="00AA1C04">
      <w:pPr>
        <w:keepNext/>
        <w:ind w:left="284" w:hanging="284"/>
        <w:outlineLvl w:val="1"/>
        <w:rPr>
          <w:rFonts w:ascii="Arial" w:hAnsi="Arial" w:cs="Arial"/>
          <w:b/>
          <w:bCs/>
          <w:color w:val="4F81BD" w:themeColor="accent1"/>
          <w:sz w:val="26"/>
          <w:szCs w:val="26"/>
        </w:rPr>
      </w:pPr>
      <w:r>
        <w:rPr>
          <w:rFonts w:ascii="Arial" w:hAnsi="Arial" w:cs="Arial"/>
          <w:b/>
          <w:bCs/>
          <w:color w:val="4F81BD" w:themeColor="accent1"/>
          <w:sz w:val="26"/>
          <w:szCs w:val="26"/>
        </w:rPr>
        <w:t>4</w:t>
      </w:r>
      <w:r w:rsidRPr="00CE3E76">
        <w:rPr>
          <w:rFonts w:ascii="Arial" w:hAnsi="Arial" w:cs="Arial"/>
          <w:b/>
          <w:bCs/>
          <w:color w:val="4F81BD" w:themeColor="accent1"/>
          <w:sz w:val="26"/>
          <w:szCs w:val="26"/>
        </w:rPr>
        <w:t xml:space="preserve">. </w:t>
      </w:r>
      <w:r>
        <w:rPr>
          <w:rFonts w:ascii="Arial" w:hAnsi="Arial" w:cs="Arial"/>
          <w:b/>
          <w:bCs/>
          <w:color w:val="4F81BD" w:themeColor="accent1"/>
          <w:sz w:val="26"/>
          <w:szCs w:val="26"/>
        </w:rPr>
        <w:t>Trimestrialisation</w:t>
      </w:r>
    </w:p>
    <w:p w:rsidR="00AA1C04" w:rsidRDefault="00AA1C04" w:rsidP="0080460B">
      <w:pPr>
        <w:jc w:val="both"/>
        <w:rPr>
          <w:sz w:val="22"/>
          <w:szCs w:val="22"/>
        </w:rPr>
      </w:pPr>
    </w:p>
    <w:p w:rsidR="00973D6F" w:rsidRPr="00973D6F" w:rsidRDefault="00973D6F" w:rsidP="00973D6F">
      <w:pPr>
        <w:spacing w:after="160" w:line="259" w:lineRule="auto"/>
        <w:jc w:val="both"/>
        <w:rPr>
          <w:rFonts w:ascii="Arial" w:eastAsia="Calibri" w:hAnsi="Arial" w:cs="Arial"/>
          <w:szCs w:val="22"/>
          <w:lang w:eastAsia="en-US"/>
        </w:rPr>
      </w:pPr>
      <w:r w:rsidRPr="00973D6F">
        <w:rPr>
          <w:rFonts w:ascii="Arial" w:eastAsia="Calibri" w:hAnsi="Arial" w:cs="Arial"/>
          <w:szCs w:val="22"/>
          <w:lang w:eastAsia="en-US"/>
        </w:rPr>
        <w:t>Nous avons jusqu’ici travaillé sur des données annuelles ce qui a permis une certaine forme de simplification des problèmes. Cependant, comme de nombreuses diffusions des séries statistiques des comptes nationaux financiers se fait à travers des séries trimestrielles (diffusion sur le portail statistique Banque de France</w:t>
      </w:r>
      <w:r w:rsidR="004D2006">
        <w:rPr>
          <w:rStyle w:val="Appelnotedebasdep"/>
          <w:rFonts w:ascii="Arial" w:eastAsia="Calibri" w:hAnsi="Arial" w:cs="Arial"/>
          <w:szCs w:val="22"/>
          <w:lang w:eastAsia="en-US"/>
        </w:rPr>
        <w:footnoteReference w:id="5"/>
      </w:r>
      <w:r w:rsidRPr="00973D6F">
        <w:rPr>
          <w:rFonts w:ascii="Arial" w:eastAsia="Calibri" w:hAnsi="Arial" w:cs="Arial"/>
          <w:szCs w:val="22"/>
          <w:lang w:eastAsia="en-US"/>
        </w:rPr>
        <w:t>, partage avec les organisations internationales comme la BCE ou l’OCDE…), il nous est apparu utile de produire et diffuser également les séries rétropolées au niveau trimestriel.</w:t>
      </w:r>
    </w:p>
    <w:p w:rsidR="00973D6F" w:rsidRPr="00973D6F" w:rsidRDefault="00973D6F" w:rsidP="00973D6F">
      <w:pPr>
        <w:spacing w:after="160" w:line="259" w:lineRule="auto"/>
        <w:jc w:val="both"/>
        <w:rPr>
          <w:rFonts w:ascii="Arial" w:eastAsia="Calibri" w:hAnsi="Arial" w:cs="Arial"/>
          <w:szCs w:val="22"/>
          <w:lang w:eastAsia="en-US"/>
        </w:rPr>
      </w:pPr>
      <w:r w:rsidRPr="00973D6F">
        <w:rPr>
          <w:rFonts w:ascii="Arial" w:eastAsia="Calibri" w:hAnsi="Arial" w:cs="Arial"/>
          <w:szCs w:val="22"/>
          <w:lang w:eastAsia="en-US"/>
        </w:rPr>
        <w:t xml:space="preserve">Pour ce faire, nous avons utilisé des principes similaires à ce que nous avons vu précédemment et, en particulier, nous avons appliqué le profil trimestriel observé en base 2000 pour l’appliquer sur la base rétropolée. Nous avons toutefois différé sur la nature des instruments rétropolés : là où nous avions auparavant rétropolé les séries d’encours, de valorisation et des autres changements de volume pour réconcilier sur les flux de transaction, nous avons pour la trimestrialisation travaillé sur les flux de transaction, de valorisation et des autres changements de volume pour finir par réconcilier sur les encours. En effet, pour ces trois premières natures, en plus des contraintes d’équilibrage horizontal (égalité entre passif et actif) et des contraintes d’agrégation (la somme des séries au niveau le plus fin doit redonner les séries agrégées qui forment le total), il y a la contrainte que la somme des valeurs trimestrielle doit redonner la valeur annuelle. Pour les encours, cette contrainte est absente. </w:t>
      </w:r>
    </w:p>
    <w:p w:rsidR="00973D6F" w:rsidRPr="001910D5" w:rsidRDefault="00973D6F" w:rsidP="00973D6F">
      <w:pPr>
        <w:spacing w:after="160" w:line="259" w:lineRule="auto"/>
        <w:jc w:val="both"/>
        <w:rPr>
          <w:rFonts w:ascii="Arial" w:eastAsia="Calibri" w:hAnsi="Arial" w:cs="Arial"/>
          <w:szCs w:val="22"/>
          <w:lang w:eastAsia="en-US"/>
        </w:rPr>
      </w:pPr>
      <w:r w:rsidRPr="001910D5">
        <w:rPr>
          <w:rFonts w:ascii="Arial" w:eastAsia="Calibri" w:hAnsi="Arial" w:cs="Arial"/>
          <w:szCs w:val="22"/>
          <w:lang w:eastAsia="en-US"/>
        </w:rPr>
        <w:t>Faute d’indicateur infra-annuel pertinent, certaines simplifications avaient été apportées pour la rétropolation trimestrielle en base 2000. Ces séries ont donc fait l’objet d’une estimation</w:t>
      </w:r>
      <w:r w:rsidR="004B6D34" w:rsidRPr="001910D5">
        <w:rPr>
          <w:rFonts w:ascii="Arial" w:eastAsia="Calibri" w:hAnsi="Arial" w:cs="Arial"/>
          <w:szCs w:val="22"/>
          <w:lang w:eastAsia="en-US"/>
        </w:rPr>
        <w:t xml:space="preserve"> préalable avant rétropolation</w:t>
      </w:r>
      <w:r w:rsidRPr="001910D5">
        <w:rPr>
          <w:rFonts w:ascii="Arial" w:eastAsia="Calibri" w:hAnsi="Arial" w:cs="Arial"/>
          <w:szCs w:val="22"/>
          <w:lang w:eastAsia="en-US"/>
        </w:rPr>
        <w:t>. Les secteurs et instruments concernés ainsi que la technique d’estimation de ces séries en base 2000 sont détaillées en annexe.</w:t>
      </w:r>
    </w:p>
    <w:p w:rsidR="00973D6F" w:rsidRPr="00973D6F" w:rsidRDefault="00973D6F" w:rsidP="00973D6F">
      <w:pPr>
        <w:spacing w:after="160" w:line="259" w:lineRule="auto"/>
        <w:jc w:val="both"/>
        <w:rPr>
          <w:rFonts w:ascii="Arial" w:eastAsia="Calibri" w:hAnsi="Arial" w:cs="Arial"/>
          <w:szCs w:val="22"/>
          <w:lang w:eastAsia="en-US"/>
        </w:rPr>
      </w:pPr>
      <w:r w:rsidRPr="001910D5">
        <w:rPr>
          <w:rFonts w:ascii="Arial" w:eastAsia="Calibri" w:hAnsi="Arial" w:cs="Arial"/>
          <w:szCs w:val="22"/>
          <w:lang w:eastAsia="en-US"/>
        </w:rPr>
        <w:t>Concernant les autres changements de volume de la base 2000,</w:t>
      </w:r>
      <w:r w:rsidRPr="001910D5">
        <w:rPr>
          <w:rFonts w:ascii="Arial" w:eastAsia="Calibri" w:hAnsi="Arial" w:cs="Arial"/>
          <w:bCs/>
          <w:szCs w:val="22"/>
          <w:lang w:eastAsia="en-US"/>
        </w:rPr>
        <w:t xml:space="preserve"> ceux-ci avaient été conventionnellement positionnés au 4</w:t>
      </w:r>
      <w:r w:rsidRPr="001910D5">
        <w:rPr>
          <w:rFonts w:ascii="Arial" w:eastAsia="Calibri" w:hAnsi="Arial" w:cs="Arial"/>
          <w:bCs/>
          <w:szCs w:val="22"/>
          <w:vertAlign w:val="superscript"/>
          <w:lang w:eastAsia="en-US"/>
        </w:rPr>
        <w:t>ème</w:t>
      </w:r>
      <w:r w:rsidRPr="001910D5">
        <w:rPr>
          <w:rFonts w:ascii="Arial" w:eastAsia="Calibri" w:hAnsi="Arial" w:cs="Arial"/>
          <w:bCs/>
          <w:szCs w:val="22"/>
          <w:lang w:eastAsia="en-US"/>
        </w:rPr>
        <w:t xml:space="preserve"> trimestre faute d’information plus précise. Pour cette même raison, le même principe a été adopté en base 2014.</w:t>
      </w:r>
      <w:r w:rsidRPr="00973D6F">
        <w:rPr>
          <w:rFonts w:ascii="Arial" w:eastAsia="Calibri" w:hAnsi="Arial" w:cs="Arial"/>
          <w:bCs/>
          <w:szCs w:val="22"/>
          <w:lang w:eastAsia="en-US"/>
        </w:rPr>
        <w:t xml:space="preserve"> </w:t>
      </w:r>
    </w:p>
    <w:p w:rsidR="00973D6F" w:rsidRPr="00973D6F" w:rsidRDefault="00973D6F" w:rsidP="00973D6F">
      <w:pPr>
        <w:spacing w:after="160" w:line="259" w:lineRule="auto"/>
        <w:jc w:val="both"/>
        <w:rPr>
          <w:rFonts w:ascii="Arial" w:eastAsia="Calibri" w:hAnsi="Arial" w:cs="Arial"/>
          <w:szCs w:val="22"/>
          <w:lang w:eastAsia="en-US"/>
        </w:rPr>
      </w:pPr>
      <w:r w:rsidRPr="00973D6F">
        <w:rPr>
          <w:rFonts w:ascii="Arial" w:eastAsia="Calibri" w:hAnsi="Arial" w:cs="Arial"/>
          <w:szCs w:val="22"/>
          <w:lang w:eastAsia="en-US"/>
        </w:rPr>
        <w:t xml:space="preserve">Le processus est le même pour les flux de transaction, et de valorisation donc nous allons présenter la démarche sur les flux. </w:t>
      </w:r>
    </w:p>
    <w:p w:rsidR="00973D6F" w:rsidRPr="00973D6F" w:rsidRDefault="00973D6F" w:rsidP="00973D6F">
      <w:pPr>
        <w:spacing w:after="160" w:line="259" w:lineRule="auto"/>
        <w:jc w:val="both"/>
        <w:rPr>
          <w:rFonts w:ascii="Arial" w:eastAsia="Calibri" w:hAnsi="Arial" w:cs="Arial"/>
          <w:szCs w:val="22"/>
          <w:lang w:eastAsia="en-US"/>
        </w:rPr>
      </w:pPr>
      <w:r w:rsidRPr="00973D6F">
        <w:rPr>
          <w:rFonts w:ascii="Arial" w:eastAsia="Calibri" w:hAnsi="Arial" w:cs="Arial"/>
          <w:szCs w:val="22"/>
          <w:lang w:eastAsia="en-US"/>
        </w:rPr>
        <w:t>Si on reprend la répartition de la base 2000 des flux entre les trimestres T</w:t>
      </w:r>
      <w:r w:rsidRPr="00973D6F">
        <w:rPr>
          <w:rFonts w:ascii="Arial" w:eastAsia="Calibri" w:hAnsi="Arial" w:cs="Arial"/>
          <w:szCs w:val="22"/>
          <w:vertAlign w:val="subscript"/>
          <w:lang w:eastAsia="en-US"/>
        </w:rPr>
        <w:t>p</w:t>
      </w:r>
      <w:r w:rsidRPr="00973D6F">
        <w:rPr>
          <w:rFonts w:ascii="Arial" w:eastAsia="Calibri" w:hAnsi="Arial" w:cs="Arial"/>
          <w:szCs w:val="22"/>
          <w:lang w:eastAsia="en-US"/>
        </w:rPr>
        <w:t xml:space="preserve"> de l’année N, on part de la première formule suivante : </w:t>
      </w:r>
    </w:p>
    <w:p w:rsidR="00973D6F" w:rsidRPr="00973D6F" w:rsidRDefault="00D94F51" w:rsidP="00973D6F">
      <w:pPr>
        <w:ind w:left="720"/>
        <w:jc w:val="both"/>
        <w:rPr>
          <w:rFonts w:ascii="Calibri" w:hAnsi="Calibri"/>
          <w:sz w:val="22"/>
          <w:szCs w:val="22"/>
          <w:lang w:eastAsia="en-US"/>
        </w:rPr>
      </w:pPr>
      <m:oMathPara>
        <m:oMath>
          <m:sSubSup>
            <m:sSubSupPr>
              <m:ctrlPr>
                <w:rPr>
                  <w:rFonts w:ascii="Cambria Math" w:eastAsia="Calibri" w:hAnsi="Cambria Math"/>
                  <w:i/>
                  <w:sz w:val="22"/>
                  <w:szCs w:val="22"/>
                  <w:lang w:eastAsia="en-US"/>
                </w:rPr>
              </m:ctrlPr>
            </m:sSubSupPr>
            <m:e>
              <m:acc>
                <m:accPr>
                  <m:ctrlPr>
                    <w:rPr>
                      <w:rFonts w:ascii="Cambria Math" w:eastAsia="Calibri" w:hAnsi="Cambria Math"/>
                      <w:i/>
                      <w:sz w:val="22"/>
                      <w:szCs w:val="22"/>
                      <w:lang w:eastAsia="en-US"/>
                    </w:rPr>
                  </m:ctrlPr>
                </m:accPr>
                <m:e>
                  <m:r>
                    <w:rPr>
                      <w:rFonts w:ascii="Cambria Math" w:eastAsia="Calibri" w:hAnsi="Cambria Math"/>
                      <w:sz w:val="22"/>
                      <w:szCs w:val="22"/>
                      <w:lang w:eastAsia="en-US"/>
                    </w:rPr>
                    <m:t>F</m:t>
                  </m:r>
                </m:e>
              </m:acc>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T</m:t>
                  </m:r>
                </m:e>
                <m:sub>
                  <m:r>
                    <w:rPr>
                      <w:rFonts w:ascii="Cambria Math" w:eastAsia="Calibri" w:hAnsi="Cambria Math"/>
                      <w:sz w:val="22"/>
                      <w:szCs w:val="22"/>
                      <w:lang w:eastAsia="en-US"/>
                    </w:rPr>
                    <m:t>p</m:t>
                  </m:r>
                </m:sub>
              </m:sSub>
              <m:r>
                <w:rPr>
                  <w:rFonts w:ascii="Cambria Math" w:eastAsia="Calibri" w:hAnsi="Cambria Math"/>
                  <w:sz w:val="22"/>
                  <w:szCs w:val="22"/>
                  <w:lang w:eastAsia="en-US"/>
                </w:rPr>
                <m:t>,N, base 2014</m:t>
              </m:r>
            </m:sub>
            <m:sup>
              <m:r>
                <w:rPr>
                  <w:rFonts w:ascii="Cambria Math" w:eastAsia="Calibri" w:hAnsi="Cambria Math"/>
                  <w:sz w:val="22"/>
                  <w:szCs w:val="22"/>
                  <w:lang w:eastAsia="en-US"/>
                </w:rPr>
                <m:t>i</m:t>
              </m:r>
            </m:sup>
          </m:sSubSup>
          <m:r>
            <w:rPr>
              <w:rFonts w:ascii="Cambria Math" w:eastAsia="Calibri" w:hAnsi="Cambria Math"/>
              <w:sz w:val="22"/>
              <w:szCs w:val="22"/>
              <w:lang w:eastAsia="en-US"/>
            </w:rPr>
            <m:t>=</m:t>
          </m:r>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r>
                <w:rPr>
                  <w:rFonts w:ascii="Cambria Math" w:eastAsia="Calibri" w:hAnsi="Cambria Math"/>
                  <w:sz w:val="22"/>
                  <w:szCs w:val="22"/>
                  <w:lang w:eastAsia="en-US"/>
                </w:rPr>
                <m:t>N, base 2014</m:t>
              </m:r>
            </m:sub>
            <m:sup>
              <m:r>
                <w:rPr>
                  <w:rFonts w:ascii="Cambria Math" w:eastAsia="Calibri" w:hAnsi="Cambria Math"/>
                  <w:sz w:val="22"/>
                  <w:szCs w:val="22"/>
                  <w:lang w:eastAsia="en-US"/>
                </w:rPr>
                <m:t>i</m:t>
              </m:r>
            </m:sup>
          </m:sSubSup>
          <m:r>
            <w:rPr>
              <w:rFonts w:ascii="Cambria Math" w:eastAsia="Calibri" w:hAnsi="Cambria Math"/>
              <w:sz w:val="22"/>
              <w:szCs w:val="22"/>
              <w:lang w:eastAsia="en-US"/>
            </w:rPr>
            <m:t>*</m:t>
          </m:r>
          <m:f>
            <m:fPr>
              <m:ctrlPr>
                <w:rPr>
                  <w:rFonts w:ascii="Cambria Math" w:eastAsia="Calibri" w:hAnsi="Cambria Math"/>
                  <w:i/>
                  <w:sz w:val="22"/>
                  <w:szCs w:val="22"/>
                  <w:lang w:eastAsia="en-US"/>
                </w:rPr>
              </m:ctrlPr>
            </m:fPr>
            <m:num>
              <m:sSubSup>
                <m:sSubSupPr>
                  <m:ctrlPr>
                    <w:rPr>
                      <w:rFonts w:ascii="Cambria Math" w:eastAsia="Calibri" w:hAnsi="Cambria Math"/>
                      <w:i/>
                      <w:sz w:val="22"/>
                      <w:szCs w:val="22"/>
                      <w:lang w:eastAsia="en-US"/>
                    </w:rPr>
                  </m:ctrlPr>
                </m:sSubSupPr>
                <m:e>
                  <m:acc>
                    <m:accPr>
                      <m:ctrlPr>
                        <w:rPr>
                          <w:rFonts w:ascii="Cambria Math" w:eastAsia="Calibri" w:hAnsi="Cambria Math"/>
                          <w:i/>
                          <w:sz w:val="22"/>
                          <w:szCs w:val="22"/>
                          <w:lang w:eastAsia="en-US"/>
                        </w:rPr>
                      </m:ctrlPr>
                    </m:accPr>
                    <m:e>
                      <m:r>
                        <w:rPr>
                          <w:rFonts w:ascii="Cambria Math" w:eastAsia="Calibri" w:hAnsi="Cambria Math"/>
                          <w:sz w:val="22"/>
                          <w:szCs w:val="22"/>
                          <w:lang w:eastAsia="en-US"/>
                        </w:rPr>
                        <m:t>F</m:t>
                      </m:r>
                    </m:e>
                  </m:acc>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T</m:t>
                      </m:r>
                    </m:e>
                    <m:sub>
                      <m:r>
                        <w:rPr>
                          <w:rFonts w:ascii="Cambria Math" w:eastAsia="Calibri" w:hAnsi="Cambria Math"/>
                          <w:sz w:val="22"/>
                          <w:szCs w:val="22"/>
                          <w:lang w:eastAsia="en-US"/>
                        </w:rPr>
                        <m:t>p</m:t>
                      </m:r>
                    </m:sub>
                  </m:sSub>
                  <m:r>
                    <w:rPr>
                      <w:rFonts w:ascii="Cambria Math" w:eastAsia="Calibri" w:hAnsi="Cambria Math"/>
                      <w:sz w:val="22"/>
                      <w:szCs w:val="22"/>
                      <w:lang w:eastAsia="en-US"/>
                    </w:rPr>
                    <m:t>,N, base 2000</m:t>
                  </m:r>
                </m:sub>
                <m:sup>
                  <m:r>
                    <w:rPr>
                      <w:rFonts w:ascii="Cambria Math" w:eastAsia="Calibri" w:hAnsi="Cambria Math"/>
                      <w:sz w:val="22"/>
                      <w:szCs w:val="22"/>
                      <w:lang w:eastAsia="en-US"/>
                    </w:rPr>
                    <m:t>i</m:t>
                  </m:r>
                </m:sup>
              </m:sSubSup>
            </m:num>
            <m:den>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r>
                    <w:rPr>
                      <w:rFonts w:ascii="Cambria Math" w:eastAsia="Calibri" w:hAnsi="Cambria Math"/>
                      <w:sz w:val="22"/>
                      <w:szCs w:val="22"/>
                      <w:lang w:eastAsia="en-US"/>
                    </w:rPr>
                    <m:t>N, base 2000</m:t>
                  </m:r>
                </m:sub>
                <m:sup>
                  <m:r>
                    <w:rPr>
                      <w:rFonts w:ascii="Cambria Math" w:eastAsia="Calibri" w:hAnsi="Cambria Math"/>
                      <w:sz w:val="22"/>
                      <w:szCs w:val="22"/>
                      <w:lang w:eastAsia="en-US"/>
                    </w:rPr>
                    <m:t>i</m:t>
                  </m:r>
                </m:sup>
              </m:sSubSup>
            </m:den>
          </m:f>
        </m:oMath>
      </m:oMathPara>
    </w:p>
    <w:p w:rsidR="00973D6F" w:rsidRPr="00973D6F" w:rsidRDefault="00973D6F" w:rsidP="00973D6F">
      <w:pPr>
        <w:spacing w:after="160" w:line="259" w:lineRule="auto"/>
        <w:jc w:val="both"/>
        <w:rPr>
          <w:rFonts w:ascii="Arial" w:hAnsi="Arial" w:cs="Arial"/>
          <w:szCs w:val="22"/>
          <w:lang w:eastAsia="en-US"/>
        </w:rPr>
      </w:pPr>
      <w:r w:rsidRPr="00973D6F">
        <w:rPr>
          <w:rFonts w:ascii="Arial" w:eastAsia="Calibri" w:hAnsi="Arial" w:cs="Arial"/>
          <w:szCs w:val="22"/>
          <w:lang w:eastAsia="en-US"/>
        </w:rPr>
        <w:t>Cela consiste à appliquer le ratio entre le flux d’un trimestre T</w:t>
      </w:r>
      <w:r w:rsidRPr="00973D6F">
        <w:rPr>
          <w:rFonts w:ascii="Arial" w:eastAsia="Calibri" w:hAnsi="Arial" w:cs="Arial"/>
          <w:szCs w:val="22"/>
          <w:vertAlign w:val="subscript"/>
          <w:lang w:eastAsia="en-US"/>
        </w:rPr>
        <w:t>p</w:t>
      </w:r>
      <w:r w:rsidRPr="00973D6F">
        <w:rPr>
          <w:rFonts w:ascii="Arial" w:eastAsia="Calibri" w:hAnsi="Arial" w:cs="Arial"/>
          <w:szCs w:val="22"/>
          <w:lang w:eastAsia="en-US"/>
        </w:rPr>
        <w:t xml:space="preserve"> </w:t>
      </w:r>
      <m:oMath>
        <m:sSubSup>
          <m:sSubSupPr>
            <m:ctrlPr>
              <w:rPr>
                <w:rFonts w:ascii="Cambria Math" w:eastAsia="Calibri" w:hAnsi="Cambria Math" w:cs="Arial"/>
                <w:i/>
                <w:szCs w:val="22"/>
                <w:lang w:eastAsia="en-US"/>
              </w:rPr>
            </m:ctrlPr>
          </m:sSubSupPr>
          <m:e>
            <m:acc>
              <m:accPr>
                <m:ctrlPr>
                  <w:rPr>
                    <w:rFonts w:ascii="Cambria Math" w:eastAsia="Calibri" w:hAnsi="Cambria Math" w:cs="Arial"/>
                    <w:i/>
                    <w:szCs w:val="22"/>
                    <w:lang w:eastAsia="en-US"/>
                  </w:rPr>
                </m:ctrlPr>
              </m:accPr>
              <m:e>
                <m:r>
                  <w:rPr>
                    <w:rFonts w:ascii="Cambria Math" w:eastAsia="Calibri" w:hAnsi="Cambria Math" w:cs="Arial"/>
                    <w:szCs w:val="22"/>
                    <w:lang w:eastAsia="en-US"/>
                  </w:rPr>
                  <m:t>F</m:t>
                </m:r>
              </m:e>
            </m:acc>
          </m:e>
          <m:sub>
            <m:sSub>
              <m:sSubPr>
                <m:ctrlPr>
                  <w:rPr>
                    <w:rFonts w:ascii="Cambria Math" w:eastAsia="Calibri" w:hAnsi="Cambria Math" w:cs="Arial"/>
                    <w:i/>
                    <w:szCs w:val="22"/>
                    <w:lang w:eastAsia="en-US"/>
                  </w:rPr>
                </m:ctrlPr>
              </m:sSubPr>
              <m:e>
                <m:r>
                  <w:rPr>
                    <w:rFonts w:ascii="Cambria Math" w:eastAsia="Calibri" w:hAnsi="Cambria Math" w:cs="Arial"/>
                    <w:szCs w:val="22"/>
                    <w:lang w:eastAsia="en-US"/>
                  </w:rPr>
                  <m:t>T</m:t>
                </m:r>
              </m:e>
              <m:sub>
                <m:r>
                  <w:rPr>
                    <w:rFonts w:ascii="Cambria Math" w:eastAsia="Calibri" w:hAnsi="Cambria Math" w:cs="Arial"/>
                    <w:szCs w:val="22"/>
                    <w:lang w:eastAsia="en-US"/>
                  </w:rPr>
                  <m:t>p</m:t>
                </m:r>
              </m:sub>
            </m:sSub>
            <m:r>
              <w:rPr>
                <w:rFonts w:ascii="Cambria Math" w:eastAsia="Calibri" w:hAnsi="Cambria Math" w:cs="Arial"/>
                <w:szCs w:val="22"/>
                <w:lang w:eastAsia="en-US"/>
              </w:rPr>
              <m:t>,N, base 2000</m:t>
            </m:r>
          </m:sub>
          <m:sup>
            <m:r>
              <w:rPr>
                <w:rFonts w:ascii="Cambria Math" w:eastAsia="Calibri" w:hAnsi="Cambria Math" w:cs="Arial"/>
                <w:szCs w:val="22"/>
                <w:lang w:eastAsia="en-US"/>
              </w:rPr>
              <m:t>i</m:t>
            </m:r>
          </m:sup>
        </m:sSubSup>
      </m:oMath>
      <w:r w:rsidRPr="00973D6F">
        <w:rPr>
          <w:rFonts w:ascii="Arial" w:hAnsi="Arial" w:cs="Arial"/>
          <w:szCs w:val="22"/>
          <w:lang w:eastAsia="en-US"/>
        </w:rPr>
        <w:t xml:space="preserve"> en base 2000 avec le flux annuel </w:t>
      </w:r>
      <m:oMath>
        <m:sSubSup>
          <m:sSubSupPr>
            <m:ctrlPr>
              <w:rPr>
                <w:rFonts w:ascii="Cambria Math" w:eastAsia="Calibri" w:hAnsi="Cambria Math" w:cs="Arial"/>
                <w:i/>
                <w:szCs w:val="22"/>
                <w:lang w:eastAsia="en-US"/>
              </w:rPr>
            </m:ctrlPr>
          </m:sSubSupPr>
          <m:e>
            <m:r>
              <w:rPr>
                <w:rFonts w:ascii="Cambria Math" w:eastAsia="Calibri" w:hAnsi="Cambria Math" w:cs="Arial"/>
                <w:szCs w:val="22"/>
                <w:lang w:eastAsia="en-US"/>
              </w:rPr>
              <m:t>F</m:t>
            </m:r>
          </m:e>
          <m:sub>
            <m:r>
              <w:rPr>
                <w:rFonts w:ascii="Cambria Math" w:eastAsia="Calibri" w:hAnsi="Cambria Math" w:cs="Arial"/>
                <w:szCs w:val="22"/>
                <w:lang w:eastAsia="en-US"/>
              </w:rPr>
              <m:t>N, base 2000</m:t>
            </m:r>
          </m:sub>
          <m:sup>
            <m:r>
              <w:rPr>
                <w:rFonts w:ascii="Cambria Math" w:eastAsia="Calibri" w:hAnsi="Cambria Math" w:cs="Arial"/>
                <w:szCs w:val="22"/>
                <w:lang w:eastAsia="en-US"/>
              </w:rPr>
              <m:t>i</m:t>
            </m:r>
          </m:sup>
        </m:sSubSup>
      </m:oMath>
      <w:r w:rsidRPr="00973D6F">
        <w:rPr>
          <w:rFonts w:ascii="Arial" w:hAnsi="Arial" w:cs="Arial"/>
          <w:szCs w:val="22"/>
          <w:lang w:eastAsia="en-US"/>
        </w:rPr>
        <w:t>, toujours en base 2000 et d’appliquer ensuite ce ratio au flux annuel en base 2014 rétropolée.</w:t>
      </w:r>
    </w:p>
    <w:p w:rsidR="00973D6F" w:rsidRPr="00973D6F" w:rsidRDefault="00973D6F" w:rsidP="00973D6F">
      <w:pPr>
        <w:spacing w:after="160" w:line="259" w:lineRule="auto"/>
        <w:jc w:val="both"/>
        <w:rPr>
          <w:rFonts w:ascii="Arial" w:hAnsi="Arial" w:cs="Arial"/>
          <w:szCs w:val="22"/>
          <w:lang w:eastAsia="en-US"/>
        </w:rPr>
      </w:pPr>
      <w:r w:rsidRPr="00973D6F">
        <w:rPr>
          <w:rFonts w:ascii="Arial" w:hAnsi="Arial" w:cs="Arial"/>
          <w:szCs w:val="22"/>
          <w:lang w:eastAsia="en-US"/>
        </w:rPr>
        <w:t xml:space="preserve">À cette démarche générale, deux exceptions sont appliquées : </w:t>
      </w:r>
    </w:p>
    <w:p w:rsidR="00973D6F" w:rsidRPr="00973D6F" w:rsidRDefault="00973D6F" w:rsidP="00973D6F">
      <w:pPr>
        <w:numPr>
          <w:ilvl w:val="0"/>
          <w:numId w:val="38"/>
        </w:numPr>
        <w:spacing w:after="160" w:line="259" w:lineRule="auto"/>
        <w:contextualSpacing/>
        <w:jc w:val="both"/>
        <w:rPr>
          <w:rFonts w:ascii="Arial" w:eastAsia="Calibri" w:hAnsi="Arial" w:cs="Arial"/>
          <w:szCs w:val="22"/>
          <w:lang w:eastAsia="en-US"/>
        </w:rPr>
      </w:pPr>
      <w:r w:rsidRPr="00973D6F">
        <w:rPr>
          <w:rFonts w:ascii="Arial" w:eastAsia="Calibri" w:hAnsi="Arial" w:cs="Arial"/>
          <w:szCs w:val="22"/>
          <w:lang w:eastAsia="en-US"/>
        </w:rPr>
        <w:t>si le flux annuel en base 2000 est nul</w:t>
      </w:r>
    </w:p>
    <w:p w:rsidR="00973D6F" w:rsidRPr="00973D6F" w:rsidRDefault="00973D6F" w:rsidP="00973D6F">
      <w:pPr>
        <w:numPr>
          <w:ilvl w:val="0"/>
          <w:numId w:val="38"/>
        </w:numPr>
        <w:spacing w:after="160" w:line="259" w:lineRule="auto"/>
        <w:contextualSpacing/>
        <w:jc w:val="both"/>
        <w:rPr>
          <w:rFonts w:ascii="Arial" w:eastAsia="Calibri" w:hAnsi="Arial" w:cs="Arial"/>
          <w:szCs w:val="22"/>
          <w:lang w:eastAsia="en-US"/>
        </w:rPr>
      </w:pPr>
      <w:r w:rsidRPr="00973D6F">
        <w:rPr>
          <w:rFonts w:ascii="Arial" w:eastAsia="Calibri" w:hAnsi="Arial" w:cs="Arial"/>
          <w:szCs w:val="22"/>
          <w:lang w:eastAsia="en-US"/>
        </w:rPr>
        <w:t>ou si le flux annuel en base 2000 et en base 2014 sont de signe opposé</w:t>
      </w:r>
    </w:p>
    <w:p w:rsidR="00973D6F" w:rsidRPr="00973D6F" w:rsidRDefault="000527E2" w:rsidP="00973D6F">
      <w:pPr>
        <w:spacing w:after="160" w:line="259" w:lineRule="auto"/>
        <w:jc w:val="both"/>
        <w:rPr>
          <w:rFonts w:ascii="Arial" w:eastAsia="Calibri" w:hAnsi="Arial" w:cs="Arial"/>
          <w:szCs w:val="22"/>
          <w:lang w:eastAsia="en-US"/>
        </w:rPr>
      </w:pPr>
      <w:r w:rsidRPr="00973D6F">
        <w:rPr>
          <w:rFonts w:ascii="Arial" w:eastAsia="Calibri" w:hAnsi="Arial" w:cs="Arial"/>
          <w:szCs w:val="22"/>
          <w:lang w:eastAsia="en-US"/>
        </w:rPr>
        <w:t>Pour</w:t>
      </w:r>
      <w:r w:rsidR="00973D6F" w:rsidRPr="00973D6F">
        <w:rPr>
          <w:rFonts w:ascii="Arial" w:eastAsia="Calibri" w:hAnsi="Arial" w:cs="Arial"/>
          <w:szCs w:val="22"/>
          <w:lang w:eastAsia="en-US"/>
        </w:rPr>
        <w:t xml:space="preserve"> une année N, alors on applique comme simplification que les flux trimestriels de la base rétropolée est égale à un quart du flux annuel sur cette année.</w:t>
      </w:r>
    </w:p>
    <w:p w:rsidR="00973D6F" w:rsidRPr="00973D6F" w:rsidRDefault="00973D6F" w:rsidP="00973D6F">
      <w:pPr>
        <w:spacing w:after="160" w:line="259" w:lineRule="auto"/>
        <w:jc w:val="both"/>
        <w:rPr>
          <w:rFonts w:ascii="Arial" w:eastAsia="Calibri" w:hAnsi="Arial" w:cs="Arial"/>
          <w:szCs w:val="22"/>
          <w:lang w:eastAsia="en-US"/>
        </w:rPr>
      </w:pPr>
      <w:r w:rsidRPr="00973D6F">
        <w:rPr>
          <w:rFonts w:ascii="Arial" w:eastAsia="Calibri" w:hAnsi="Arial" w:cs="Arial"/>
          <w:szCs w:val="22"/>
          <w:lang w:eastAsia="en-US"/>
        </w:rPr>
        <w:t xml:space="preserve">Ces choix étant effectués, on peut procéder ainsi au niveau des totaux actifs et passifs et pour chaque secteur mais nous allons retomber sur la même problématique que précédemment pour la rétropolation </w:t>
      </w:r>
      <w:r w:rsidRPr="00973D6F">
        <w:rPr>
          <w:rFonts w:ascii="Arial" w:eastAsia="Calibri" w:hAnsi="Arial" w:cs="Arial"/>
          <w:szCs w:val="22"/>
          <w:lang w:eastAsia="en-US"/>
        </w:rPr>
        <w:lastRenderedPageBreak/>
        <w:t>annuelle de devoir respecter l’égalité entre les flux sur les totaux et la somme des flux pour chaque secteur (qui n’est malheureusement pas atteinte naturellement). On va procéder de manière simialire à savoir :</w:t>
      </w:r>
    </w:p>
    <w:p w:rsidR="00973D6F" w:rsidRPr="00973D6F" w:rsidRDefault="00973D6F" w:rsidP="00973D6F">
      <w:pPr>
        <w:numPr>
          <w:ilvl w:val="0"/>
          <w:numId w:val="39"/>
        </w:numPr>
        <w:spacing w:after="160" w:line="259" w:lineRule="auto"/>
        <w:contextualSpacing/>
        <w:jc w:val="both"/>
        <w:rPr>
          <w:rFonts w:ascii="Arial" w:eastAsia="Calibri" w:hAnsi="Arial" w:cs="Arial"/>
          <w:szCs w:val="22"/>
          <w:lang w:eastAsia="en-US"/>
        </w:rPr>
      </w:pPr>
      <w:r w:rsidRPr="00973D6F">
        <w:rPr>
          <w:rFonts w:ascii="Arial" w:eastAsia="Calibri" w:hAnsi="Arial" w:cs="Arial"/>
          <w:szCs w:val="22"/>
          <w:lang w:eastAsia="en-US"/>
        </w:rPr>
        <w:t>Pour un secteur i pour lequel nous n’avons pas ou peu modifié les flux annuels à savoir</w:t>
      </w:r>
    </w:p>
    <w:p w:rsidR="00973D6F" w:rsidRPr="00973D6F" w:rsidRDefault="00973D6F" w:rsidP="00973D6F">
      <w:pPr>
        <w:spacing w:after="160" w:line="259" w:lineRule="auto"/>
        <w:ind w:left="1440"/>
        <w:contextualSpacing/>
        <w:jc w:val="both"/>
        <w:rPr>
          <w:rFonts w:ascii="Calibri" w:hAnsi="Calibri"/>
          <w:sz w:val="22"/>
          <w:szCs w:val="22"/>
          <w:lang w:eastAsia="en-US"/>
        </w:rPr>
      </w:pPr>
      <m:oMathPara>
        <m:oMath>
          <m:r>
            <m:rPr>
              <m:nor/>
            </m:rPr>
            <w:rPr>
              <w:rFonts w:ascii="Cambria Math" w:eastAsia="Calibri" w:hAnsi="Cambria Math"/>
              <w:sz w:val="22"/>
              <w:szCs w:val="22"/>
              <w:lang w:eastAsia="en-US"/>
            </w:rPr>
            <m:t xml:space="preserve">si </m:t>
          </m:r>
          <m:d>
            <m:dPr>
              <m:begChr m:val="|"/>
              <m:endChr m:val="|"/>
              <m:ctrlPr>
                <w:rPr>
                  <w:rFonts w:ascii="Cambria Math" w:eastAsia="Calibri" w:hAnsi="Cambria Math"/>
                  <w:i/>
                  <w:sz w:val="22"/>
                  <w:szCs w:val="22"/>
                  <w:lang w:eastAsia="en-US"/>
                </w:rPr>
              </m:ctrlPr>
            </m:dPr>
            <m:e>
              <m:f>
                <m:fPr>
                  <m:ctrlPr>
                    <w:rPr>
                      <w:rFonts w:ascii="Cambria Math" w:eastAsia="Calibri" w:hAnsi="Cambria Math"/>
                      <w:i/>
                      <w:sz w:val="22"/>
                      <w:szCs w:val="22"/>
                      <w:lang w:eastAsia="en-US"/>
                    </w:rPr>
                  </m:ctrlPr>
                </m:fPr>
                <m:num>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r>
                        <w:rPr>
                          <w:rFonts w:ascii="Cambria Math" w:eastAsia="Calibri" w:hAnsi="Cambria Math"/>
                          <w:sz w:val="22"/>
                          <w:szCs w:val="22"/>
                          <w:lang w:eastAsia="en-US"/>
                        </w:rPr>
                        <m:t>N, base 2000</m:t>
                      </m:r>
                    </m:sub>
                    <m:sup>
                      <m:r>
                        <w:rPr>
                          <w:rFonts w:ascii="Cambria Math" w:eastAsia="Calibri" w:hAnsi="Cambria Math"/>
                          <w:sz w:val="22"/>
                          <w:szCs w:val="22"/>
                          <w:lang w:eastAsia="en-US"/>
                        </w:rPr>
                        <m:t>i</m:t>
                      </m:r>
                    </m:sup>
                  </m:sSubSup>
                  <m:r>
                    <w:rPr>
                      <w:rFonts w:ascii="Cambria Math" w:eastAsia="Calibri" w:hAnsi="Cambria Math"/>
                      <w:sz w:val="22"/>
                      <w:szCs w:val="22"/>
                      <w:lang w:eastAsia="en-US"/>
                    </w:rPr>
                    <m:t>-</m:t>
                  </m:r>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r>
                        <w:rPr>
                          <w:rFonts w:ascii="Cambria Math" w:eastAsia="Calibri" w:hAnsi="Cambria Math"/>
                          <w:sz w:val="22"/>
                          <w:szCs w:val="22"/>
                          <w:lang w:eastAsia="en-US"/>
                        </w:rPr>
                        <m:t>N, base 2014</m:t>
                      </m:r>
                    </m:sub>
                    <m:sup>
                      <m:r>
                        <w:rPr>
                          <w:rFonts w:ascii="Cambria Math" w:eastAsia="Calibri" w:hAnsi="Cambria Math"/>
                          <w:sz w:val="22"/>
                          <w:szCs w:val="22"/>
                          <w:lang w:eastAsia="en-US"/>
                        </w:rPr>
                        <m:t>i</m:t>
                      </m:r>
                    </m:sup>
                  </m:sSubSup>
                </m:num>
                <m:den>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r>
                        <w:rPr>
                          <w:rFonts w:ascii="Cambria Math" w:eastAsia="Calibri" w:hAnsi="Cambria Math"/>
                          <w:sz w:val="22"/>
                          <w:szCs w:val="22"/>
                          <w:lang w:eastAsia="en-US"/>
                        </w:rPr>
                        <m:t>N, base 2000</m:t>
                      </m:r>
                    </m:sub>
                    <m:sup>
                      <m:r>
                        <w:rPr>
                          <w:rFonts w:ascii="Cambria Math" w:eastAsia="Calibri" w:hAnsi="Cambria Math"/>
                          <w:sz w:val="22"/>
                          <w:szCs w:val="22"/>
                          <w:lang w:eastAsia="en-US"/>
                        </w:rPr>
                        <m:t>i</m:t>
                      </m:r>
                    </m:sup>
                  </m:sSubSup>
                </m:den>
              </m:f>
            </m:e>
          </m:d>
          <m:r>
            <w:rPr>
              <w:rFonts w:ascii="Cambria Math" w:eastAsia="Calibri" w:hAnsi="Cambria Math"/>
              <w:sz w:val="22"/>
              <w:szCs w:val="22"/>
              <w:lang w:eastAsia="en-US"/>
            </w:rPr>
            <m:t>&lt;</m:t>
          </m:r>
          <m:r>
            <m:rPr>
              <m:sty m:val="p"/>
            </m:rPr>
            <w:rPr>
              <w:rFonts w:ascii="Cambria Math" w:eastAsia="Calibri" w:hAnsi="Cambria Math"/>
              <w:sz w:val="22"/>
              <w:szCs w:val="22"/>
              <w:lang w:eastAsia="en-US"/>
            </w:rPr>
            <m:t>Δ</m:t>
          </m:r>
        </m:oMath>
      </m:oMathPara>
    </w:p>
    <w:p w:rsidR="00973D6F" w:rsidRPr="00973D6F" w:rsidRDefault="00973D6F" w:rsidP="00973D6F">
      <w:pPr>
        <w:spacing w:after="160" w:line="259" w:lineRule="auto"/>
        <w:ind w:left="1440"/>
        <w:contextualSpacing/>
        <w:jc w:val="both"/>
        <w:rPr>
          <w:rFonts w:ascii="Arial" w:eastAsia="Calibri" w:hAnsi="Arial" w:cs="Arial"/>
          <w:szCs w:val="22"/>
          <w:lang w:eastAsia="en-US"/>
        </w:rPr>
      </w:pPr>
      <w:r w:rsidRPr="00973D6F">
        <w:rPr>
          <w:rFonts w:ascii="Arial" w:eastAsia="Calibri" w:hAnsi="Arial" w:cs="Arial"/>
          <w:szCs w:val="22"/>
          <w:lang w:eastAsia="en-US"/>
        </w:rPr>
        <w:t xml:space="preserve">alors on garde les flux trimestriels précédemment estimés : </w:t>
      </w:r>
    </w:p>
    <w:p w:rsidR="00973D6F" w:rsidRPr="00973D6F" w:rsidRDefault="00D94F51" w:rsidP="00973D6F">
      <w:pPr>
        <w:spacing w:after="160" w:line="259" w:lineRule="auto"/>
        <w:jc w:val="center"/>
        <w:rPr>
          <w:rFonts w:ascii="Calibri" w:eastAsia="Calibri" w:hAnsi="Calibri"/>
          <w:sz w:val="22"/>
          <w:szCs w:val="22"/>
          <w:lang w:eastAsia="en-US"/>
        </w:rPr>
      </w:pPr>
      <m:oMath>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T</m:t>
                </m:r>
              </m:e>
              <m:sub>
                <m:r>
                  <w:rPr>
                    <w:rFonts w:ascii="Cambria Math" w:eastAsia="Calibri" w:hAnsi="Cambria Math"/>
                    <w:sz w:val="22"/>
                    <w:szCs w:val="22"/>
                    <w:lang w:eastAsia="en-US"/>
                  </w:rPr>
                  <m:t>p</m:t>
                </m:r>
              </m:sub>
            </m:sSub>
            <m:r>
              <w:rPr>
                <w:rFonts w:ascii="Cambria Math" w:eastAsia="Calibri" w:hAnsi="Cambria Math"/>
                <w:sz w:val="22"/>
                <w:szCs w:val="22"/>
                <w:lang w:eastAsia="en-US"/>
              </w:rPr>
              <m:t>,N, base 2014</m:t>
            </m:r>
          </m:sub>
          <m:sup>
            <m:r>
              <w:rPr>
                <w:rFonts w:ascii="Cambria Math" w:eastAsia="Calibri" w:hAnsi="Cambria Math"/>
                <w:sz w:val="22"/>
                <w:szCs w:val="22"/>
                <w:lang w:eastAsia="en-US"/>
              </w:rPr>
              <m:t>i</m:t>
            </m:r>
          </m:sup>
        </m:sSubSup>
        <m:r>
          <w:rPr>
            <w:rFonts w:ascii="Cambria Math" w:eastAsia="Calibri" w:hAnsi="Cambria Math"/>
            <w:sz w:val="22"/>
            <w:szCs w:val="22"/>
            <w:lang w:eastAsia="en-US"/>
          </w:rPr>
          <m:t>=</m:t>
        </m:r>
        <m:sSubSup>
          <m:sSubSupPr>
            <m:ctrlPr>
              <w:rPr>
                <w:rFonts w:ascii="Cambria Math" w:eastAsia="Calibri" w:hAnsi="Cambria Math"/>
                <w:i/>
                <w:sz w:val="22"/>
                <w:szCs w:val="22"/>
                <w:lang w:eastAsia="en-US"/>
              </w:rPr>
            </m:ctrlPr>
          </m:sSubSupPr>
          <m:e>
            <m:acc>
              <m:accPr>
                <m:ctrlPr>
                  <w:rPr>
                    <w:rFonts w:ascii="Cambria Math" w:eastAsia="Calibri" w:hAnsi="Cambria Math"/>
                    <w:i/>
                    <w:sz w:val="22"/>
                    <w:szCs w:val="22"/>
                    <w:lang w:eastAsia="en-US"/>
                  </w:rPr>
                </m:ctrlPr>
              </m:accPr>
              <m:e>
                <m:r>
                  <w:rPr>
                    <w:rFonts w:ascii="Cambria Math" w:eastAsia="Calibri" w:hAnsi="Cambria Math"/>
                    <w:sz w:val="22"/>
                    <w:szCs w:val="22"/>
                    <w:lang w:eastAsia="en-US"/>
                  </w:rPr>
                  <m:t>F</m:t>
                </m:r>
              </m:e>
            </m:acc>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T</m:t>
                </m:r>
              </m:e>
              <m:sub>
                <m:r>
                  <w:rPr>
                    <w:rFonts w:ascii="Cambria Math" w:eastAsia="Calibri" w:hAnsi="Cambria Math"/>
                    <w:sz w:val="22"/>
                    <w:szCs w:val="22"/>
                    <w:lang w:eastAsia="en-US"/>
                  </w:rPr>
                  <m:t>p</m:t>
                </m:r>
              </m:sub>
            </m:sSub>
            <m:r>
              <w:rPr>
                <w:rFonts w:ascii="Cambria Math" w:eastAsia="Calibri" w:hAnsi="Cambria Math"/>
                <w:sz w:val="22"/>
                <w:szCs w:val="22"/>
                <w:lang w:eastAsia="en-US"/>
              </w:rPr>
              <m:t>,N, base 2014</m:t>
            </m:r>
          </m:sub>
          <m:sup>
            <m:r>
              <w:rPr>
                <w:rFonts w:ascii="Cambria Math" w:eastAsia="Calibri" w:hAnsi="Cambria Math"/>
                <w:sz w:val="22"/>
                <w:szCs w:val="22"/>
                <w:lang w:eastAsia="en-US"/>
              </w:rPr>
              <m:t>i</m:t>
            </m:r>
          </m:sup>
        </m:sSubSup>
      </m:oMath>
      <w:r w:rsidR="00973D6F" w:rsidRPr="00973D6F">
        <w:rPr>
          <w:rFonts w:ascii="Calibri" w:eastAsia="Calibri" w:hAnsi="Calibri"/>
          <w:sz w:val="22"/>
          <w:szCs w:val="22"/>
          <w:lang w:eastAsia="en-US"/>
        </w:rPr>
        <w:t>.</w:t>
      </w:r>
    </w:p>
    <w:p w:rsidR="00973D6F" w:rsidRPr="00973D6F" w:rsidRDefault="00973D6F" w:rsidP="00973D6F">
      <w:pPr>
        <w:spacing w:after="160" w:line="259" w:lineRule="auto"/>
        <w:ind w:left="1440"/>
        <w:contextualSpacing/>
        <w:jc w:val="both"/>
        <w:rPr>
          <w:rFonts w:ascii="Arial" w:hAnsi="Arial" w:cs="Arial"/>
          <w:szCs w:val="22"/>
          <w:lang w:eastAsia="en-US"/>
        </w:rPr>
      </w:pPr>
      <w:r w:rsidRPr="00973D6F">
        <w:rPr>
          <w:rFonts w:ascii="Arial" w:eastAsia="Calibri" w:hAnsi="Arial" w:cs="Arial"/>
          <w:szCs w:val="22"/>
          <w:lang w:eastAsia="en-US"/>
        </w:rPr>
        <w:t xml:space="preserve">En pratique, nous avons pris un seuil </w:t>
      </w:r>
      <m:oMath>
        <m:r>
          <m:rPr>
            <m:sty m:val="p"/>
          </m:rPr>
          <w:rPr>
            <w:rFonts w:ascii="Arial" w:eastAsia="Calibri" w:hAnsi="Arial" w:cs="Arial"/>
            <w:szCs w:val="22"/>
            <w:lang w:eastAsia="en-US"/>
          </w:rPr>
          <m:t>Δ</m:t>
        </m:r>
      </m:oMath>
      <w:r w:rsidRPr="00973D6F">
        <w:rPr>
          <w:rFonts w:ascii="Arial" w:hAnsi="Arial" w:cs="Arial"/>
          <w:szCs w:val="22"/>
          <w:lang w:eastAsia="en-US"/>
        </w:rPr>
        <w:t xml:space="preserve"> de 5%.</w:t>
      </w:r>
    </w:p>
    <w:p w:rsidR="00973D6F" w:rsidRPr="00973D6F" w:rsidRDefault="00973D6F" w:rsidP="00973D6F">
      <w:pPr>
        <w:spacing w:after="160" w:line="259" w:lineRule="auto"/>
        <w:ind w:left="1440"/>
        <w:contextualSpacing/>
        <w:jc w:val="both"/>
        <w:rPr>
          <w:rFonts w:ascii="Arial" w:eastAsia="Calibri" w:hAnsi="Arial" w:cs="Arial"/>
          <w:szCs w:val="22"/>
          <w:lang w:eastAsia="en-US"/>
        </w:rPr>
      </w:pPr>
    </w:p>
    <w:p w:rsidR="00973D6F" w:rsidRPr="00973D6F" w:rsidRDefault="00973D6F" w:rsidP="00973D6F">
      <w:pPr>
        <w:numPr>
          <w:ilvl w:val="0"/>
          <w:numId w:val="39"/>
        </w:numPr>
        <w:spacing w:after="160" w:line="259" w:lineRule="auto"/>
        <w:contextualSpacing/>
        <w:jc w:val="both"/>
        <w:rPr>
          <w:rFonts w:ascii="Arial" w:eastAsia="Calibri" w:hAnsi="Arial" w:cs="Arial"/>
          <w:szCs w:val="22"/>
          <w:lang w:eastAsia="en-US"/>
        </w:rPr>
      </w:pPr>
      <w:r w:rsidRPr="00973D6F">
        <w:rPr>
          <w:rFonts w:ascii="Arial" w:eastAsia="Calibri" w:hAnsi="Arial" w:cs="Arial"/>
          <w:szCs w:val="22"/>
          <w:lang w:eastAsia="en-US"/>
        </w:rPr>
        <w:t>Pour les autres secteurs, on va comme précédemment procéder aux ajustements nécessaires pour retrouver l’égalité souhaitée sur le total, en réallouant sur les séries non figées l’écart entre le total et la somme des parties</w:t>
      </w:r>
      <w:r w:rsidRPr="00973D6F">
        <w:rPr>
          <w:rFonts w:ascii="Calibri" w:eastAsia="Calibri" w:hAnsi="Calibri"/>
          <w:sz w:val="22"/>
          <w:szCs w:val="22"/>
          <w:lang w:eastAsia="en-US"/>
        </w:rPr>
        <w:t xml:space="preserve"> </w:t>
      </w:r>
      <m:oMath>
        <m:d>
          <m:dPr>
            <m:ctrlPr>
              <w:rPr>
                <w:rFonts w:ascii="Cambria Math" w:eastAsia="Calibri" w:hAnsi="Cambria Math"/>
                <w:i/>
                <w:sz w:val="22"/>
                <w:szCs w:val="22"/>
                <w:lang w:eastAsia="en-US"/>
              </w:rPr>
            </m:ctrlPr>
          </m:dPr>
          <m:e>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T</m:t>
                    </m:r>
                  </m:e>
                  <m:sub>
                    <m:r>
                      <w:rPr>
                        <w:rFonts w:ascii="Cambria Math" w:eastAsia="Calibri" w:hAnsi="Cambria Math"/>
                        <w:sz w:val="22"/>
                        <w:szCs w:val="22"/>
                        <w:lang w:eastAsia="en-US"/>
                      </w:rPr>
                      <m:t>p</m:t>
                    </m:r>
                  </m:sub>
                </m:sSub>
                <m:r>
                  <w:rPr>
                    <w:rFonts w:ascii="Cambria Math" w:eastAsia="Calibri" w:hAnsi="Cambria Math"/>
                    <w:sz w:val="22"/>
                    <w:szCs w:val="22"/>
                    <w:lang w:eastAsia="en-US"/>
                  </w:rPr>
                  <m:t>,N, base 2014</m:t>
                </m:r>
              </m:sub>
              <m:sup>
                <m:r>
                  <w:rPr>
                    <w:rFonts w:ascii="Cambria Math" w:eastAsia="Calibri" w:hAnsi="Cambria Math"/>
                    <w:sz w:val="22"/>
                    <w:szCs w:val="22"/>
                    <w:lang w:eastAsia="en-US"/>
                  </w:rPr>
                  <m:t>total</m:t>
                </m:r>
              </m:sup>
            </m:sSubSup>
            <m:r>
              <w:rPr>
                <w:rFonts w:ascii="Cambria Math" w:eastAsia="Calibri" w:hAnsi="Cambria Math"/>
                <w:sz w:val="22"/>
                <w:szCs w:val="22"/>
                <w:lang w:eastAsia="en-US"/>
              </w:rPr>
              <m:t>-</m:t>
            </m:r>
            <m:nary>
              <m:naryPr>
                <m:chr m:val="∑"/>
                <m:limLoc m:val="undOvr"/>
                <m:supHide m:val="1"/>
                <m:ctrlPr>
                  <w:rPr>
                    <w:rFonts w:ascii="Cambria Math" w:eastAsia="Calibri" w:hAnsi="Cambria Math"/>
                    <w:i/>
                    <w:sz w:val="22"/>
                    <w:szCs w:val="22"/>
                    <w:lang w:eastAsia="en-US"/>
                  </w:rPr>
                </m:ctrlPr>
              </m:naryPr>
              <m:sub>
                <m:r>
                  <w:rPr>
                    <w:rFonts w:ascii="Cambria Math" w:eastAsia="Calibri" w:hAnsi="Cambria Math"/>
                    <w:sz w:val="22"/>
                    <w:szCs w:val="22"/>
                    <w:lang w:eastAsia="en-US"/>
                  </w:rPr>
                  <m:t xml:space="preserve">i </m:t>
                </m:r>
              </m:sub>
              <m:sup/>
              <m:e>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T</m:t>
                        </m:r>
                      </m:e>
                      <m:sub>
                        <m:r>
                          <w:rPr>
                            <w:rFonts w:ascii="Cambria Math" w:eastAsia="Calibri" w:hAnsi="Cambria Math"/>
                            <w:sz w:val="22"/>
                            <w:szCs w:val="22"/>
                            <w:lang w:eastAsia="en-US"/>
                          </w:rPr>
                          <m:t>p</m:t>
                        </m:r>
                      </m:sub>
                    </m:sSub>
                    <m:r>
                      <w:rPr>
                        <w:rFonts w:ascii="Cambria Math" w:eastAsia="Calibri" w:hAnsi="Cambria Math"/>
                        <w:sz w:val="22"/>
                        <w:szCs w:val="22"/>
                        <w:lang w:eastAsia="en-US"/>
                      </w:rPr>
                      <m:t>,N, base 2014</m:t>
                    </m:r>
                  </m:sub>
                  <m:sup>
                    <m:r>
                      <w:rPr>
                        <w:rFonts w:ascii="Cambria Math" w:eastAsia="Calibri" w:hAnsi="Cambria Math"/>
                        <w:sz w:val="22"/>
                        <w:szCs w:val="22"/>
                        <w:lang w:eastAsia="en-US"/>
                      </w:rPr>
                      <m:t>i</m:t>
                    </m:r>
                  </m:sup>
                </m:sSubSup>
              </m:e>
            </m:nary>
          </m:e>
        </m:d>
      </m:oMath>
      <w:r w:rsidRPr="00973D6F">
        <w:rPr>
          <w:rFonts w:ascii="Calibri" w:hAnsi="Calibri"/>
          <w:sz w:val="22"/>
          <w:szCs w:val="22"/>
          <w:lang w:eastAsia="en-US"/>
        </w:rPr>
        <w:t xml:space="preserve"> </w:t>
      </w:r>
      <w:r w:rsidRPr="00973D6F">
        <w:rPr>
          <w:rFonts w:ascii="Arial" w:hAnsi="Arial" w:cs="Arial"/>
          <w:szCs w:val="22"/>
          <w:lang w:eastAsia="en-US"/>
        </w:rPr>
        <w:t>pour chaque trimestre T</w:t>
      </w:r>
      <w:r w:rsidRPr="00973D6F">
        <w:rPr>
          <w:rFonts w:ascii="Arial" w:hAnsi="Arial" w:cs="Arial"/>
          <w:szCs w:val="22"/>
          <w:vertAlign w:val="subscript"/>
          <w:lang w:eastAsia="en-US"/>
        </w:rPr>
        <w:t>p</w:t>
      </w:r>
      <w:r w:rsidRPr="00973D6F">
        <w:rPr>
          <w:rFonts w:ascii="Arial" w:hAnsi="Arial" w:cs="Arial"/>
          <w:szCs w:val="22"/>
          <w:lang w:eastAsia="en-US"/>
        </w:rPr>
        <w:t xml:space="preserve"> et en pondérant par le poids des flux entre les séries non figées</w:t>
      </w:r>
      <w:r w:rsidRPr="00973D6F">
        <w:rPr>
          <w:rFonts w:ascii="Calibri" w:hAnsi="Calibri"/>
          <w:sz w:val="22"/>
          <w:szCs w:val="22"/>
          <w:lang w:eastAsia="en-US"/>
        </w:rPr>
        <w:t xml:space="preserve"> </w:t>
      </w:r>
      <m:oMath>
        <m:f>
          <m:fPr>
            <m:ctrlPr>
              <w:rPr>
                <w:rFonts w:ascii="Cambria Math" w:eastAsia="Calibri" w:hAnsi="Cambria Math"/>
                <w:i/>
                <w:sz w:val="22"/>
                <w:szCs w:val="22"/>
                <w:lang w:eastAsia="en-US"/>
              </w:rPr>
            </m:ctrlPr>
          </m:fPr>
          <m:num>
            <m:d>
              <m:dPr>
                <m:begChr m:val="|"/>
                <m:endChr m:val="|"/>
                <m:ctrlPr>
                  <w:rPr>
                    <w:rFonts w:ascii="Cambria Math" w:eastAsia="Calibri" w:hAnsi="Cambria Math"/>
                    <w:i/>
                    <w:sz w:val="22"/>
                    <w:szCs w:val="22"/>
                    <w:lang w:eastAsia="en-US"/>
                  </w:rPr>
                </m:ctrlPr>
              </m:dPr>
              <m:e>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r>
                      <w:rPr>
                        <w:rFonts w:ascii="Cambria Math" w:eastAsia="Calibri" w:hAnsi="Cambria Math"/>
                        <w:sz w:val="22"/>
                        <w:szCs w:val="22"/>
                        <w:lang w:eastAsia="en-US"/>
                      </w:rPr>
                      <m:t>N, base 2014</m:t>
                    </m:r>
                  </m:sub>
                  <m:sup>
                    <m:r>
                      <w:rPr>
                        <w:rFonts w:ascii="Cambria Math" w:eastAsia="Calibri" w:hAnsi="Cambria Math"/>
                        <w:sz w:val="22"/>
                        <w:szCs w:val="22"/>
                        <w:lang w:eastAsia="en-US"/>
                      </w:rPr>
                      <m:t>j</m:t>
                    </m:r>
                  </m:sup>
                </m:sSubSup>
              </m:e>
            </m:d>
          </m:num>
          <m:den>
            <m:nary>
              <m:naryPr>
                <m:chr m:val="∑"/>
                <m:limLoc m:val="undOvr"/>
                <m:supHide m:val="1"/>
                <m:ctrlPr>
                  <w:rPr>
                    <w:rFonts w:ascii="Cambria Math" w:eastAsia="Calibri" w:hAnsi="Cambria Math"/>
                    <w:i/>
                    <w:sz w:val="22"/>
                    <w:szCs w:val="22"/>
                    <w:lang w:eastAsia="en-US"/>
                  </w:rPr>
                </m:ctrlPr>
              </m:naryPr>
              <m:sub>
                <m:r>
                  <w:rPr>
                    <w:rFonts w:ascii="Cambria Math" w:eastAsia="Calibri" w:hAnsi="Cambria Math"/>
                    <w:sz w:val="22"/>
                    <w:szCs w:val="22"/>
                    <w:lang w:eastAsia="en-US"/>
                  </w:rPr>
                  <m:t>k non figés</m:t>
                </m:r>
              </m:sub>
              <m:sup/>
              <m:e>
                <m:d>
                  <m:dPr>
                    <m:begChr m:val="|"/>
                    <m:endChr m:val="|"/>
                    <m:ctrlPr>
                      <w:rPr>
                        <w:rFonts w:ascii="Cambria Math" w:eastAsia="Calibri" w:hAnsi="Cambria Math"/>
                        <w:i/>
                        <w:sz w:val="22"/>
                        <w:szCs w:val="22"/>
                        <w:lang w:eastAsia="en-US"/>
                      </w:rPr>
                    </m:ctrlPr>
                  </m:dPr>
                  <m:e>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r>
                          <w:rPr>
                            <w:rFonts w:ascii="Cambria Math" w:eastAsia="Calibri" w:hAnsi="Cambria Math"/>
                            <w:sz w:val="22"/>
                            <w:szCs w:val="22"/>
                            <w:lang w:eastAsia="en-US"/>
                          </w:rPr>
                          <m:t>N, base 2014</m:t>
                        </m:r>
                      </m:sub>
                      <m:sup>
                        <m:r>
                          <w:rPr>
                            <w:rFonts w:ascii="Cambria Math" w:eastAsia="Calibri" w:hAnsi="Cambria Math"/>
                            <w:sz w:val="22"/>
                            <w:szCs w:val="22"/>
                            <w:lang w:eastAsia="en-US"/>
                          </w:rPr>
                          <m:t>k</m:t>
                        </m:r>
                      </m:sup>
                    </m:sSubSup>
                  </m:e>
                </m:d>
              </m:e>
            </m:nary>
          </m:den>
        </m:f>
      </m:oMath>
      <w:r w:rsidRPr="00973D6F">
        <w:rPr>
          <w:rFonts w:ascii="Calibri" w:eastAsia="Calibri" w:hAnsi="Calibri"/>
          <w:sz w:val="22"/>
          <w:szCs w:val="22"/>
          <w:lang w:eastAsia="en-US"/>
        </w:rPr>
        <w:t xml:space="preserve"> </w:t>
      </w:r>
      <w:r w:rsidRPr="00973D6F">
        <w:rPr>
          <w:rFonts w:ascii="Arial" w:eastAsia="Calibri" w:hAnsi="Arial" w:cs="Arial"/>
          <w:szCs w:val="22"/>
          <w:lang w:eastAsia="en-US"/>
        </w:rPr>
        <w:t>(en prenant des valeurs absolues pour prendre en compte le fait que les flux peuvent être négatifs) :</w:t>
      </w:r>
    </w:p>
    <w:p w:rsidR="00973D6F" w:rsidRPr="00973D6F" w:rsidRDefault="00D94F51" w:rsidP="00973D6F">
      <w:pPr>
        <w:spacing w:after="160" w:line="259" w:lineRule="auto"/>
        <w:jc w:val="both"/>
        <w:rPr>
          <w:rFonts w:ascii="Calibri" w:hAnsi="Calibri"/>
          <w:sz w:val="22"/>
          <w:szCs w:val="22"/>
          <w:lang w:eastAsia="en-US"/>
        </w:rPr>
      </w:pPr>
      <m:oMathPara>
        <m:oMath>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T</m:t>
                  </m:r>
                </m:e>
                <m:sub>
                  <m:r>
                    <w:rPr>
                      <w:rFonts w:ascii="Cambria Math" w:eastAsia="Calibri" w:hAnsi="Cambria Math"/>
                      <w:sz w:val="22"/>
                      <w:szCs w:val="22"/>
                      <w:lang w:eastAsia="en-US"/>
                    </w:rPr>
                    <m:t>p</m:t>
                  </m:r>
                </m:sub>
              </m:sSub>
              <m:r>
                <w:rPr>
                  <w:rFonts w:ascii="Cambria Math" w:eastAsia="Calibri" w:hAnsi="Cambria Math"/>
                  <w:sz w:val="22"/>
                  <w:szCs w:val="22"/>
                  <w:lang w:eastAsia="en-US"/>
                </w:rPr>
                <m:t>,N, base 2014</m:t>
              </m:r>
            </m:sub>
            <m:sup>
              <m:r>
                <w:rPr>
                  <w:rFonts w:ascii="Cambria Math" w:eastAsia="Calibri" w:hAnsi="Cambria Math"/>
                  <w:sz w:val="22"/>
                  <w:szCs w:val="22"/>
                  <w:lang w:eastAsia="en-US"/>
                </w:rPr>
                <m:t>j</m:t>
              </m:r>
            </m:sup>
          </m:sSubSup>
          <m:r>
            <w:rPr>
              <w:rFonts w:ascii="Cambria Math" w:eastAsia="Calibri" w:hAnsi="Cambria Math"/>
              <w:sz w:val="22"/>
              <w:szCs w:val="22"/>
              <w:lang w:eastAsia="en-US"/>
            </w:rPr>
            <m:t>=</m:t>
          </m:r>
          <m:sSubSup>
            <m:sSubSupPr>
              <m:ctrlPr>
                <w:rPr>
                  <w:rFonts w:ascii="Cambria Math" w:eastAsia="Calibri" w:hAnsi="Cambria Math"/>
                  <w:i/>
                  <w:sz w:val="22"/>
                  <w:szCs w:val="22"/>
                  <w:lang w:eastAsia="en-US"/>
                </w:rPr>
              </m:ctrlPr>
            </m:sSubSupPr>
            <m:e>
              <m:acc>
                <m:accPr>
                  <m:ctrlPr>
                    <w:rPr>
                      <w:rFonts w:ascii="Cambria Math" w:eastAsia="Calibri" w:hAnsi="Cambria Math"/>
                      <w:i/>
                      <w:sz w:val="22"/>
                      <w:szCs w:val="22"/>
                      <w:lang w:eastAsia="en-US"/>
                    </w:rPr>
                  </m:ctrlPr>
                </m:accPr>
                <m:e>
                  <m:r>
                    <w:rPr>
                      <w:rFonts w:ascii="Cambria Math" w:eastAsia="Calibri" w:hAnsi="Cambria Math"/>
                      <w:sz w:val="22"/>
                      <w:szCs w:val="22"/>
                      <w:lang w:eastAsia="en-US"/>
                    </w:rPr>
                    <m:t>F</m:t>
                  </m:r>
                </m:e>
              </m:acc>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T</m:t>
                  </m:r>
                </m:e>
                <m:sub>
                  <m:r>
                    <w:rPr>
                      <w:rFonts w:ascii="Cambria Math" w:eastAsia="Calibri" w:hAnsi="Cambria Math"/>
                      <w:sz w:val="22"/>
                      <w:szCs w:val="22"/>
                      <w:lang w:eastAsia="en-US"/>
                    </w:rPr>
                    <m:t>p</m:t>
                  </m:r>
                </m:sub>
              </m:sSub>
              <m:r>
                <w:rPr>
                  <w:rFonts w:ascii="Cambria Math" w:eastAsia="Calibri" w:hAnsi="Cambria Math"/>
                  <w:sz w:val="22"/>
                  <w:szCs w:val="22"/>
                  <w:lang w:eastAsia="en-US"/>
                </w:rPr>
                <m:t>,N, base 2014</m:t>
              </m:r>
            </m:sub>
            <m:sup>
              <m:r>
                <w:rPr>
                  <w:rFonts w:ascii="Cambria Math" w:eastAsia="Calibri" w:hAnsi="Cambria Math"/>
                  <w:sz w:val="22"/>
                  <w:szCs w:val="22"/>
                  <w:lang w:eastAsia="en-US"/>
                </w:rPr>
                <m:t>j</m:t>
              </m:r>
            </m:sup>
          </m:sSubSup>
          <m:r>
            <w:rPr>
              <w:rFonts w:ascii="Cambria Math" w:eastAsia="Calibri" w:hAnsi="Cambria Math"/>
              <w:sz w:val="22"/>
              <w:szCs w:val="22"/>
              <w:lang w:eastAsia="en-US"/>
            </w:rPr>
            <m:t xml:space="preserve">+ </m:t>
          </m:r>
          <m:f>
            <m:fPr>
              <m:ctrlPr>
                <w:rPr>
                  <w:rFonts w:ascii="Cambria Math" w:eastAsia="Calibri" w:hAnsi="Cambria Math"/>
                  <w:i/>
                  <w:sz w:val="22"/>
                  <w:szCs w:val="22"/>
                  <w:lang w:eastAsia="en-US"/>
                </w:rPr>
              </m:ctrlPr>
            </m:fPr>
            <m:num>
              <m:d>
                <m:dPr>
                  <m:begChr m:val="|"/>
                  <m:endChr m:val="|"/>
                  <m:ctrlPr>
                    <w:rPr>
                      <w:rFonts w:ascii="Cambria Math" w:eastAsia="Calibri" w:hAnsi="Cambria Math"/>
                      <w:i/>
                      <w:sz w:val="22"/>
                      <w:szCs w:val="22"/>
                      <w:lang w:eastAsia="en-US"/>
                    </w:rPr>
                  </m:ctrlPr>
                </m:dPr>
                <m:e>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r>
                        <w:rPr>
                          <w:rFonts w:ascii="Cambria Math" w:eastAsia="Calibri" w:hAnsi="Cambria Math"/>
                          <w:sz w:val="22"/>
                          <w:szCs w:val="22"/>
                          <w:lang w:eastAsia="en-US"/>
                        </w:rPr>
                        <m:t>N, base 2014</m:t>
                      </m:r>
                    </m:sub>
                    <m:sup>
                      <m:r>
                        <w:rPr>
                          <w:rFonts w:ascii="Cambria Math" w:eastAsia="Calibri" w:hAnsi="Cambria Math"/>
                          <w:sz w:val="22"/>
                          <w:szCs w:val="22"/>
                          <w:lang w:eastAsia="en-US"/>
                        </w:rPr>
                        <m:t>j</m:t>
                      </m:r>
                    </m:sup>
                  </m:sSubSup>
                </m:e>
              </m:d>
            </m:num>
            <m:den>
              <m:nary>
                <m:naryPr>
                  <m:chr m:val="∑"/>
                  <m:limLoc m:val="undOvr"/>
                  <m:supHide m:val="1"/>
                  <m:ctrlPr>
                    <w:rPr>
                      <w:rFonts w:ascii="Cambria Math" w:eastAsia="Calibri" w:hAnsi="Cambria Math"/>
                      <w:i/>
                      <w:sz w:val="22"/>
                      <w:szCs w:val="22"/>
                      <w:lang w:eastAsia="en-US"/>
                    </w:rPr>
                  </m:ctrlPr>
                </m:naryPr>
                <m:sub>
                  <m:r>
                    <w:rPr>
                      <w:rFonts w:ascii="Cambria Math" w:eastAsia="Calibri" w:hAnsi="Cambria Math"/>
                      <w:sz w:val="22"/>
                      <w:szCs w:val="22"/>
                      <w:lang w:eastAsia="en-US"/>
                    </w:rPr>
                    <m:t>k non figés</m:t>
                  </m:r>
                </m:sub>
                <m:sup/>
                <m:e>
                  <m:d>
                    <m:dPr>
                      <m:begChr m:val="|"/>
                      <m:endChr m:val="|"/>
                      <m:ctrlPr>
                        <w:rPr>
                          <w:rFonts w:ascii="Cambria Math" w:eastAsia="Calibri" w:hAnsi="Cambria Math"/>
                          <w:i/>
                          <w:sz w:val="22"/>
                          <w:szCs w:val="22"/>
                          <w:lang w:eastAsia="en-US"/>
                        </w:rPr>
                      </m:ctrlPr>
                    </m:dPr>
                    <m:e>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r>
                            <w:rPr>
                              <w:rFonts w:ascii="Cambria Math" w:eastAsia="Calibri" w:hAnsi="Cambria Math"/>
                              <w:sz w:val="22"/>
                              <w:szCs w:val="22"/>
                              <w:lang w:eastAsia="en-US"/>
                            </w:rPr>
                            <m:t>N, base 2014</m:t>
                          </m:r>
                        </m:sub>
                        <m:sup>
                          <m:r>
                            <w:rPr>
                              <w:rFonts w:ascii="Cambria Math" w:eastAsia="Calibri" w:hAnsi="Cambria Math"/>
                              <w:sz w:val="22"/>
                              <w:szCs w:val="22"/>
                              <w:lang w:eastAsia="en-US"/>
                            </w:rPr>
                            <m:t>k</m:t>
                          </m:r>
                        </m:sup>
                      </m:sSubSup>
                    </m:e>
                  </m:d>
                </m:e>
              </m:nary>
            </m:den>
          </m:f>
          <m:d>
            <m:dPr>
              <m:ctrlPr>
                <w:rPr>
                  <w:rFonts w:ascii="Cambria Math" w:eastAsia="Calibri" w:hAnsi="Cambria Math"/>
                  <w:i/>
                  <w:sz w:val="22"/>
                  <w:szCs w:val="22"/>
                  <w:lang w:eastAsia="en-US"/>
                </w:rPr>
              </m:ctrlPr>
            </m:dPr>
            <m:e>
              <m:sSubSup>
                <m:sSubSupPr>
                  <m:ctrlPr>
                    <w:rPr>
                      <w:rFonts w:ascii="Cambria Math" w:eastAsia="Calibri" w:hAnsi="Cambria Math"/>
                      <w:i/>
                      <w:sz w:val="22"/>
                      <w:szCs w:val="22"/>
                      <w:lang w:eastAsia="en-US"/>
                    </w:rPr>
                  </m:ctrlPr>
                </m:sSubSupPr>
                <m:e>
                  <m:acc>
                    <m:accPr>
                      <m:ctrlPr>
                        <w:rPr>
                          <w:rFonts w:ascii="Cambria Math" w:eastAsia="Calibri" w:hAnsi="Cambria Math"/>
                          <w:i/>
                          <w:sz w:val="22"/>
                          <w:szCs w:val="22"/>
                          <w:lang w:eastAsia="en-US"/>
                        </w:rPr>
                      </m:ctrlPr>
                    </m:accPr>
                    <m:e>
                      <m:r>
                        <w:rPr>
                          <w:rFonts w:ascii="Cambria Math" w:eastAsia="Calibri" w:hAnsi="Cambria Math"/>
                          <w:sz w:val="22"/>
                          <w:szCs w:val="22"/>
                          <w:lang w:eastAsia="en-US"/>
                        </w:rPr>
                        <m:t>F</m:t>
                      </m:r>
                    </m:e>
                  </m:acc>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T</m:t>
                      </m:r>
                    </m:e>
                    <m:sub>
                      <m:r>
                        <w:rPr>
                          <w:rFonts w:ascii="Cambria Math" w:eastAsia="Calibri" w:hAnsi="Cambria Math"/>
                          <w:sz w:val="22"/>
                          <w:szCs w:val="22"/>
                          <w:lang w:eastAsia="en-US"/>
                        </w:rPr>
                        <m:t>p</m:t>
                      </m:r>
                    </m:sub>
                  </m:sSub>
                  <m:r>
                    <w:rPr>
                      <w:rFonts w:ascii="Cambria Math" w:eastAsia="Calibri" w:hAnsi="Cambria Math"/>
                      <w:sz w:val="22"/>
                      <w:szCs w:val="22"/>
                      <w:lang w:eastAsia="en-US"/>
                    </w:rPr>
                    <m:t>,N, base 2014</m:t>
                  </m:r>
                </m:sub>
                <m:sup>
                  <m:r>
                    <w:rPr>
                      <w:rFonts w:ascii="Cambria Math" w:eastAsia="Calibri" w:hAnsi="Cambria Math"/>
                      <w:sz w:val="22"/>
                      <w:szCs w:val="22"/>
                      <w:lang w:eastAsia="en-US"/>
                    </w:rPr>
                    <m:t>total</m:t>
                  </m:r>
                </m:sup>
              </m:sSubSup>
              <m:r>
                <w:rPr>
                  <w:rFonts w:ascii="Cambria Math" w:eastAsia="Calibri" w:hAnsi="Cambria Math"/>
                  <w:sz w:val="22"/>
                  <w:szCs w:val="22"/>
                  <w:lang w:eastAsia="en-US"/>
                </w:rPr>
                <m:t>-</m:t>
              </m:r>
              <m:nary>
                <m:naryPr>
                  <m:chr m:val="∑"/>
                  <m:limLoc m:val="undOvr"/>
                  <m:supHide m:val="1"/>
                  <m:ctrlPr>
                    <w:rPr>
                      <w:rFonts w:ascii="Cambria Math" w:eastAsia="Calibri" w:hAnsi="Cambria Math"/>
                      <w:i/>
                      <w:sz w:val="22"/>
                      <w:szCs w:val="22"/>
                      <w:lang w:eastAsia="en-US"/>
                    </w:rPr>
                  </m:ctrlPr>
                </m:naryPr>
                <m:sub>
                  <m:r>
                    <w:rPr>
                      <w:rFonts w:ascii="Cambria Math" w:eastAsia="Calibri" w:hAnsi="Cambria Math"/>
                      <w:sz w:val="22"/>
                      <w:szCs w:val="22"/>
                      <w:lang w:eastAsia="en-US"/>
                    </w:rPr>
                    <m:t xml:space="preserve">i </m:t>
                  </m:r>
                </m:sub>
                <m:sup/>
                <m:e>
                  <m:sSubSup>
                    <m:sSubSupPr>
                      <m:ctrlPr>
                        <w:rPr>
                          <w:rFonts w:ascii="Cambria Math" w:eastAsia="Calibri" w:hAnsi="Cambria Math"/>
                          <w:i/>
                          <w:sz w:val="22"/>
                          <w:szCs w:val="22"/>
                          <w:lang w:eastAsia="en-US"/>
                        </w:rPr>
                      </m:ctrlPr>
                    </m:sSubSupPr>
                    <m:e>
                      <m:acc>
                        <m:accPr>
                          <m:ctrlPr>
                            <w:rPr>
                              <w:rFonts w:ascii="Cambria Math" w:eastAsia="Calibri" w:hAnsi="Cambria Math"/>
                              <w:i/>
                              <w:sz w:val="22"/>
                              <w:szCs w:val="22"/>
                              <w:lang w:eastAsia="en-US"/>
                            </w:rPr>
                          </m:ctrlPr>
                        </m:accPr>
                        <m:e>
                          <m:r>
                            <w:rPr>
                              <w:rFonts w:ascii="Cambria Math" w:eastAsia="Calibri" w:hAnsi="Cambria Math"/>
                              <w:sz w:val="22"/>
                              <w:szCs w:val="22"/>
                              <w:lang w:eastAsia="en-US"/>
                            </w:rPr>
                            <m:t>F</m:t>
                          </m:r>
                        </m:e>
                      </m:acc>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T</m:t>
                          </m:r>
                        </m:e>
                        <m:sub>
                          <m:r>
                            <w:rPr>
                              <w:rFonts w:ascii="Cambria Math" w:eastAsia="Calibri" w:hAnsi="Cambria Math"/>
                              <w:sz w:val="22"/>
                              <w:szCs w:val="22"/>
                              <w:lang w:eastAsia="en-US"/>
                            </w:rPr>
                            <m:t>p</m:t>
                          </m:r>
                        </m:sub>
                      </m:sSub>
                      <m:r>
                        <w:rPr>
                          <w:rFonts w:ascii="Cambria Math" w:eastAsia="Calibri" w:hAnsi="Cambria Math"/>
                          <w:sz w:val="22"/>
                          <w:szCs w:val="22"/>
                          <w:lang w:eastAsia="en-US"/>
                        </w:rPr>
                        <m:t>,N, base 2014</m:t>
                      </m:r>
                    </m:sub>
                    <m:sup>
                      <m:r>
                        <w:rPr>
                          <w:rFonts w:ascii="Cambria Math" w:eastAsia="Calibri" w:hAnsi="Cambria Math"/>
                          <w:sz w:val="22"/>
                          <w:szCs w:val="22"/>
                          <w:lang w:eastAsia="en-US"/>
                        </w:rPr>
                        <m:t>i</m:t>
                      </m:r>
                    </m:sup>
                  </m:sSubSup>
                </m:e>
              </m:nary>
            </m:e>
          </m:d>
        </m:oMath>
      </m:oMathPara>
    </w:p>
    <w:p w:rsidR="00973D6F" w:rsidRPr="00973D6F" w:rsidRDefault="00973D6F" w:rsidP="00973D6F">
      <w:pPr>
        <w:spacing w:after="160" w:line="259" w:lineRule="auto"/>
        <w:ind w:left="1440"/>
        <w:contextualSpacing/>
        <w:jc w:val="both"/>
        <w:rPr>
          <w:rFonts w:ascii="Arial" w:eastAsia="Calibri" w:hAnsi="Arial" w:cs="Arial"/>
          <w:szCs w:val="22"/>
          <w:lang w:eastAsia="en-US"/>
        </w:rPr>
      </w:pPr>
      <w:r w:rsidRPr="00973D6F">
        <w:rPr>
          <w:rFonts w:ascii="Arial" w:eastAsia="Calibri" w:hAnsi="Arial" w:cs="Arial"/>
          <w:szCs w:val="22"/>
          <w:lang w:eastAsia="en-US"/>
        </w:rPr>
        <w:t xml:space="preserve">Pour la répartition entre séries non figées, il faut bien noter que nous avons choisi des poids assis sur les séries annuelles et non les séries trimestrielles afin d’appliquer le même poids sur chaque trimestre et donc de ne pas rompre l’égalité entre le flux annuel et les flux trimestriels, sachant qu’on a naturellement </w:t>
      </w:r>
    </w:p>
    <w:p w:rsidR="00973D6F" w:rsidRPr="00973D6F" w:rsidRDefault="00D94F51" w:rsidP="00973D6F">
      <w:pPr>
        <w:spacing w:after="160" w:line="259" w:lineRule="auto"/>
        <w:ind w:left="1440"/>
        <w:contextualSpacing/>
        <w:jc w:val="both"/>
        <w:rPr>
          <w:rFonts w:ascii="Calibri" w:eastAsia="Calibri" w:hAnsi="Calibri"/>
          <w:sz w:val="22"/>
          <w:szCs w:val="22"/>
          <w:lang w:eastAsia="en-US"/>
        </w:rPr>
      </w:pPr>
      <m:oMathPara>
        <m:oMath>
          <m:nary>
            <m:naryPr>
              <m:chr m:val="∑"/>
              <m:limLoc m:val="subSup"/>
              <m:supHide m:val="1"/>
              <m:ctrlPr>
                <w:rPr>
                  <w:rFonts w:ascii="Cambria Math" w:eastAsia="Calibri" w:hAnsi="Cambria Math"/>
                  <w:i/>
                  <w:sz w:val="22"/>
                  <w:szCs w:val="22"/>
                  <w:lang w:eastAsia="en-US"/>
                </w:rPr>
              </m:ctrlPr>
            </m:naryPr>
            <m:sub>
              <m:r>
                <w:rPr>
                  <w:rFonts w:ascii="Cambria Math" w:eastAsia="Calibri" w:hAnsi="Cambria Math"/>
                  <w:sz w:val="22"/>
                  <w:szCs w:val="22"/>
                  <w:lang w:eastAsia="en-US"/>
                </w:rPr>
                <m:t>les 4 trimestres p</m:t>
              </m:r>
            </m:sub>
            <m:sup/>
            <m:e>
              <m:d>
                <m:dPr>
                  <m:ctrlPr>
                    <w:rPr>
                      <w:rFonts w:ascii="Cambria Math" w:eastAsia="Calibri" w:hAnsi="Cambria Math"/>
                      <w:i/>
                      <w:sz w:val="22"/>
                      <w:szCs w:val="22"/>
                      <w:lang w:eastAsia="en-US"/>
                    </w:rPr>
                  </m:ctrlPr>
                </m:dPr>
                <m:e>
                  <m:sSubSup>
                    <m:sSubSupPr>
                      <m:ctrlPr>
                        <w:rPr>
                          <w:rFonts w:ascii="Cambria Math" w:eastAsia="Calibri" w:hAnsi="Cambria Math"/>
                          <w:i/>
                          <w:sz w:val="22"/>
                          <w:szCs w:val="22"/>
                          <w:lang w:eastAsia="en-US"/>
                        </w:rPr>
                      </m:ctrlPr>
                    </m:sSubSupPr>
                    <m:e>
                      <m:acc>
                        <m:accPr>
                          <m:ctrlPr>
                            <w:rPr>
                              <w:rFonts w:ascii="Cambria Math" w:eastAsia="Calibri" w:hAnsi="Cambria Math"/>
                              <w:i/>
                              <w:sz w:val="22"/>
                              <w:szCs w:val="22"/>
                              <w:lang w:eastAsia="en-US"/>
                            </w:rPr>
                          </m:ctrlPr>
                        </m:accPr>
                        <m:e>
                          <m:r>
                            <w:rPr>
                              <w:rFonts w:ascii="Cambria Math" w:eastAsia="Calibri" w:hAnsi="Cambria Math"/>
                              <w:sz w:val="22"/>
                              <w:szCs w:val="22"/>
                              <w:lang w:eastAsia="en-US"/>
                            </w:rPr>
                            <m:t>F</m:t>
                          </m:r>
                        </m:e>
                      </m:acc>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T</m:t>
                          </m:r>
                        </m:e>
                        <m:sub>
                          <m:r>
                            <w:rPr>
                              <w:rFonts w:ascii="Cambria Math" w:eastAsia="Calibri" w:hAnsi="Cambria Math"/>
                              <w:sz w:val="22"/>
                              <w:szCs w:val="22"/>
                              <w:lang w:eastAsia="en-US"/>
                            </w:rPr>
                            <m:t>p</m:t>
                          </m:r>
                        </m:sub>
                      </m:sSub>
                      <m:r>
                        <w:rPr>
                          <w:rFonts w:ascii="Cambria Math" w:eastAsia="Calibri" w:hAnsi="Cambria Math"/>
                          <w:sz w:val="22"/>
                          <w:szCs w:val="22"/>
                          <w:lang w:eastAsia="en-US"/>
                        </w:rPr>
                        <m:t>,N, base 2014</m:t>
                      </m:r>
                    </m:sub>
                    <m:sup>
                      <m:r>
                        <w:rPr>
                          <w:rFonts w:ascii="Cambria Math" w:eastAsia="Calibri" w:hAnsi="Cambria Math"/>
                          <w:sz w:val="22"/>
                          <w:szCs w:val="22"/>
                          <w:lang w:eastAsia="en-US"/>
                        </w:rPr>
                        <m:t>total</m:t>
                      </m:r>
                    </m:sup>
                  </m:sSubSup>
                  <m:r>
                    <w:rPr>
                      <w:rFonts w:ascii="Cambria Math" w:eastAsia="Calibri" w:hAnsi="Cambria Math"/>
                      <w:sz w:val="22"/>
                      <w:szCs w:val="22"/>
                      <w:lang w:eastAsia="en-US"/>
                    </w:rPr>
                    <m:t>-</m:t>
                  </m:r>
                  <m:nary>
                    <m:naryPr>
                      <m:chr m:val="∑"/>
                      <m:limLoc m:val="undOvr"/>
                      <m:supHide m:val="1"/>
                      <m:ctrlPr>
                        <w:rPr>
                          <w:rFonts w:ascii="Cambria Math" w:eastAsia="Calibri" w:hAnsi="Cambria Math"/>
                          <w:i/>
                          <w:sz w:val="22"/>
                          <w:szCs w:val="22"/>
                          <w:lang w:eastAsia="en-US"/>
                        </w:rPr>
                      </m:ctrlPr>
                    </m:naryPr>
                    <m:sub>
                      <m:r>
                        <w:rPr>
                          <w:rFonts w:ascii="Cambria Math" w:eastAsia="Calibri" w:hAnsi="Cambria Math"/>
                          <w:sz w:val="22"/>
                          <w:szCs w:val="22"/>
                          <w:lang w:eastAsia="en-US"/>
                        </w:rPr>
                        <m:t xml:space="preserve">i </m:t>
                      </m:r>
                    </m:sub>
                    <m:sup/>
                    <m:e>
                      <m:sSubSup>
                        <m:sSubSupPr>
                          <m:ctrlPr>
                            <w:rPr>
                              <w:rFonts w:ascii="Cambria Math" w:eastAsia="Calibri" w:hAnsi="Cambria Math"/>
                              <w:i/>
                              <w:sz w:val="22"/>
                              <w:szCs w:val="22"/>
                              <w:lang w:eastAsia="en-US"/>
                            </w:rPr>
                          </m:ctrlPr>
                        </m:sSubSupPr>
                        <m:e>
                          <m:acc>
                            <m:accPr>
                              <m:ctrlPr>
                                <w:rPr>
                                  <w:rFonts w:ascii="Cambria Math" w:eastAsia="Calibri" w:hAnsi="Cambria Math"/>
                                  <w:i/>
                                  <w:sz w:val="22"/>
                                  <w:szCs w:val="22"/>
                                  <w:lang w:eastAsia="en-US"/>
                                </w:rPr>
                              </m:ctrlPr>
                            </m:accPr>
                            <m:e>
                              <m:r>
                                <w:rPr>
                                  <w:rFonts w:ascii="Cambria Math" w:eastAsia="Calibri" w:hAnsi="Cambria Math"/>
                                  <w:sz w:val="22"/>
                                  <w:szCs w:val="22"/>
                                  <w:lang w:eastAsia="en-US"/>
                                </w:rPr>
                                <m:t>F</m:t>
                              </m:r>
                            </m:e>
                          </m:acc>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T</m:t>
                              </m:r>
                            </m:e>
                            <m:sub>
                              <m:r>
                                <w:rPr>
                                  <w:rFonts w:ascii="Cambria Math" w:eastAsia="Calibri" w:hAnsi="Cambria Math"/>
                                  <w:sz w:val="22"/>
                                  <w:szCs w:val="22"/>
                                  <w:lang w:eastAsia="en-US"/>
                                </w:rPr>
                                <m:t>p</m:t>
                              </m:r>
                            </m:sub>
                          </m:sSub>
                          <m:r>
                            <w:rPr>
                              <w:rFonts w:ascii="Cambria Math" w:eastAsia="Calibri" w:hAnsi="Cambria Math"/>
                              <w:sz w:val="22"/>
                              <w:szCs w:val="22"/>
                              <w:lang w:eastAsia="en-US"/>
                            </w:rPr>
                            <m:t>,N, base 2014</m:t>
                          </m:r>
                        </m:sub>
                        <m:sup>
                          <m:r>
                            <w:rPr>
                              <w:rFonts w:ascii="Cambria Math" w:eastAsia="Calibri" w:hAnsi="Cambria Math"/>
                              <w:sz w:val="22"/>
                              <w:szCs w:val="22"/>
                              <w:lang w:eastAsia="en-US"/>
                            </w:rPr>
                            <m:t>i</m:t>
                          </m:r>
                        </m:sup>
                      </m:sSubSup>
                    </m:e>
                  </m:nary>
                </m:e>
              </m:d>
              <m:r>
                <w:rPr>
                  <w:rFonts w:ascii="Cambria Math" w:eastAsia="Calibri" w:hAnsi="Cambria Math"/>
                  <w:sz w:val="22"/>
                  <w:szCs w:val="22"/>
                  <w:lang w:eastAsia="en-US"/>
                </w:rPr>
                <m:t>=0</m:t>
              </m:r>
            </m:e>
          </m:nary>
        </m:oMath>
      </m:oMathPara>
    </w:p>
    <w:p w:rsidR="00973D6F" w:rsidRPr="00973D6F" w:rsidRDefault="00973D6F" w:rsidP="00973D6F">
      <w:pPr>
        <w:spacing w:after="160" w:line="259" w:lineRule="auto"/>
        <w:jc w:val="both"/>
        <w:rPr>
          <w:rFonts w:ascii="Arial" w:eastAsia="Calibri" w:hAnsi="Arial" w:cs="Arial"/>
          <w:szCs w:val="22"/>
          <w:lang w:eastAsia="en-US"/>
        </w:rPr>
      </w:pPr>
      <w:r w:rsidRPr="00973D6F">
        <w:rPr>
          <w:rFonts w:ascii="Arial" w:eastAsia="Calibri" w:hAnsi="Arial" w:cs="Arial"/>
          <w:szCs w:val="22"/>
          <w:lang w:eastAsia="en-US"/>
        </w:rPr>
        <w:t>Enfin, une revue manuelle du processus de trimestrialisation a là aussi été effectuée pour s’assurer de la cohérence des choix effectués.</w:t>
      </w:r>
    </w:p>
    <w:p w:rsidR="00AF1502" w:rsidRDefault="00973D6F" w:rsidP="00AF1502">
      <w:pPr>
        <w:pStyle w:val="Titre1"/>
        <w:rPr>
          <w:sz w:val="24"/>
          <w:szCs w:val="20"/>
        </w:rPr>
      </w:pPr>
      <w:r w:rsidRPr="00973D6F">
        <w:rPr>
          <w:rFonts w:ascii="Calibri" w:eastAsia="Calibri" w:hAnsi="Calibri"/>
          <w:sz w:val="22"/>
          <w:szCs w:val="22"/>
          <w:lang w:eastAsia="en-US"/>
        </w:rPr>
        <w:br w:type="page"/>
      </w:r>
      <w:r w:rsidR="00AF1502" w:rsidRPr="00AF1502">
        <w:rPr>
          <w:sz w:val="24"/>
          <w:szCs w:val="20"/>
        </w:rPr>
        <w:lastRenderedPageBreak/>
        <w:t>Annexe 1 : détail du travail de jointure méthodologique</w:t>
      </w:r>
    </w:p>
    <w:p w:rsidR="00AF1502" w:rsidRDefault="00AF1502" w:rsidP="00AF1502"/>
    <w:p w:rsidR="00AF1502" w:rsidRPr="00AF1502" w:rsidRDefault="00AF1502" w:rsidP="00AF1502"/>
    <w:p w:rsidR="00AF1502" w:rsidRPr="00AF1502" w:rsidRDefault="00AF1502" w:rsidP="00AF1502">
      <w:pPr>
        <w:pStyle w:val="Sansinterligne"/>
        <w:numPr>
          <w:ilvl w:val="0"/>
          <w:numId w:val="40"/>
        </w:numPr>
        <w:jc w:val="both"/>
        <w:rPr>
          <w:rFonts w:ascii="Arial" w:eastAsiaTheme="majorEastAsia" w:hAnsi="Arial" w:cs="Arial"/>
          <w:sz w:val="20"/>
          <w:szCs w:val="20"/>
          <w:u w:val="single"/>
        </w:rPr>
      </w:pPr>
      <w:r w:rsidRPr="00AF1502">
        <w:rPr>
          <w:rFonts w:ascii="Arial" w:eastAsiaTheme="majorEastAsia" w:hAnsi="Arial" w:cs="Arial"/>
          <w:sz w:val="20"/>
          <w:szCs w:val="20"/>
          <w:u w:val="single"/>
        </w:rPr>
        <w:t>La jointure sur les instruments financiers entre le SEC 1995 et le SEC 2010</w:t>
      </w:r>
    </w:p>
    <w:p w:rsidR="00AF1502" w:rsidRPr="00AF1502" w:rsidRDefault="00AF1502" w:rsidP="00AF1502">
      <w:pPr>
        <w:pStyle w:val="Sansinterligne"/>
        <w:numPr>
          <w:ilvl w:val="1"/>
          <w:numId w:val="41"/>
        </w:numPr>
        <w:jc w:val="both"/>
        <w:rPr>
          <w:rFonts w:ascii="Arial" w:eastAsiaTheme="majorEastAsia" w:hAnsi="Arial" w:cs="Arial"/>
          <w:sz w:val="20"/>
          <w:szCs w:val="20"/>
          <w:u w:val="single"/>
        </w:rPr>
      </w:pPr>
      <w:r w:rsidRPr="00AF1502">
        <w:rPr>
          <w:rFonts w:ascii="Arial" w:eastAsiaTheme="majorEastAsia" w:hAnsi="Arial" w:cs="Arial"/>
          <w:sz w:val="20"/>
          <w:szCs w:val="20"/>
          <w:u w:val="single"/>
        </w:rPr>
        <w:t>Ventilation du F.333 en F.32</w:t>
      </w:r>
    </w:p>
    <w:p w:rsidR="00AF1502" w:rsidRPr="00AF1502" w:rsidRDefault="00AF1502" w:rsidP="00AF1502">
      <w:pPr>
        <w:pStyle w:val="Sansinterligne"/>
        <w:jc w:val="both"/>
        <w:rPr>
          <w:rFonts w:ascii="Arial" w:eastAsiaTheme="majorEastAsia" w:hAnsi="Arial" w:cs="Arial"/>
          <w:sz w:val="20"/>
          <w:szCs w:val="20"/>
          <w:u w:val="single"/>
        </w:rPr>
      </w:pPr>
    </w:p>
    <w:p w:rsidR="00AF1502" w:rsidRPr="00AF1502" w:rsidRDefault="00AF1502" w:rsidP="00AF1502">
      <w:pPr>
        <w:pStyle w:val="Sansinterligne"/>
        <w:jc w:val="both"/>
        <w:rPr>
          <w:rFonts w:ascii="Arial" w:eastAsiaTheme="majorEastAsia" w:hAnsi="Arial" w:cs="Arial"/>
          <w:sz w:val="20"/>
          <w:szCs w:val="20"/>
        </w:rPr>
      </w:pPr>
      <w:r w:rsidRPr="00AF1502">
        <w:rPr>
          <w:rFonts w:ascii="Arial" w:eastAsiaTheme="majorEastAsia" w:hAnsi="Arial" w:cs="Arial"/>
          <w:sz w:val="20"/>
          <w:szCs w:val="20"/>
        </w:rPr>
        <w:t>Les</w:t>
      </w:r>
      <w:r w:rsidRPr="00AF1502">
        <w:rPr>
          <w:rFonts w:ascii="Arial" w:eastAsiaTheme="majorEastAsia" w:hAnsi="Arial" w:cs="Arial"/>
          <w:i/>
          <w:sz w:val="20"/>
          <w:szCs w:val="20"/>
        </w:rPr>
        <w:t xml:space="preserve"> titres du marché interbancaire à long terme (F.333) couvrent les opérations sur titres du marché interbancaire à long terme. Ils comprennent </w:t>
      </w:r>
      <w:r w:rsidRPr="00AF1502">
        <w:rPr>
          <w:rFonts w:ascii="Arial" w:eastAsiaTheme="majorEastAsia" w:hAnsi="Arial" w:cs="Arial"/>
          <w:sz w:val="20"/>
          <w:szCs w:val="20"/>
        </w:rPr>
        <w:t xml:space="preserve">les billets à ordre négociables, les billets hypothécaires, les certificats bancaires à agios composés (intérêts payables d’avance) ou post comptés (intérêts payables à l’échéance). </w:t>
      </w:r>
      <w:r w:rsidRPr="00AF1502">
        <w:rPr>
          <w:rFonts w:ascii="Arial" w:hAnsi="Arial" w:cs="Arial"/>
          <w:sz w:val="20"/>
          <w:szCs w:val="20"/>
        </w:rPr>
        <w:t xml:space="preserve">En base 2000, ils apparaissaient dans une ligne comptable F.333 distincte des titres de créance à long terme (F.332) ; seul l’instrument F.332 était disponible avec une ventilation en </w:t>
      </w:r>
      <w:r w:rsidRPr="00AF1502">
        <w:rPr>
          <w:rFonts w:ascii="Arial" w:eastAsiaTheme="majorEastAsia" w:hAnsi="Arial" w:cs="Arial"/>
          <w:sz w:val="20"/>
          <w:szCs w:val="20"/>
        </w:rPr>
        <w:t>Euro (EU) et en devises étrangères (DV)</w:t>
      </w:r>
      <w:r w:rsidRPr="00AF1502">
        <w:rPr>
          <w:rFonts w:ascii="Arial" w:hAnsi="Arial" w:cs="Arial"/>
          <w:sz w:val="20"/>
          <w:szCs w:val="20"/>
        </w:rPr>
        <w:t>.</w:t>
      </w:r>
    </w:p>
    <w:p w:rsidR="00AF1502" w:rsidRPr="00AF1502" w:rsidRDefault="00AF1502" w:rsidP="00AF1502">
      <w:pPr>
        <w:pStyle w:val="Sansinterligne"/>
        <w:jc w:val="both"/>
        <w:rPr>
          <w:rFonts w:ascii="Arial" w:eastAsiaTheme="majorEastAsia" w:hAnsi="Arial" w:cs="Arial"/>
          <w:sz w:val="20"/>
          <w:szCs w:val="20"/>
        </w:rPr>
      </w:pPr>
    </w:p>
    <w:p w:rsidR="00AF1502" w:rsidRPr="00AF1502" w:rsidRDefault="00AF1502" w:rsidP="00AF1502">
      <w:pPr>
        <w:pStyle w:val="Sansinterligne"/>
        <w:jc w:val="both"/>
        <w:rPr>
          <w:rFonts w:ascii="Arial" w:eastAsiaTheme="majorEastAsia" w:hAnsi="Arial" w:cs="Arial"/>
          <w:sz w:val="20"/>
          <w:szCs w:val="20"/>
        </w:rPr>
      </w:pPr>
      <w:r w:rsidRPr="00AF1502">
        <w:rPr>
          <w:rFonts w:ascii="Arial" w:eastAsiaTheme="majorEastAsia" w:hAnsi="Arial" w:cs="Arial"/>
          <w:sz w:val="20"/>
          <w:szCs w:val="20"/>
        </w:rPr>
        <w:t xml:space="preserve">En base 2014, les titres du marché interbancaire à long terme (F.333) sont réintégrés aux titres de créance long terme (F.32) selon la ventilation en Euro (EU) et en devises étrangères (DV). Au vu du poids relatif faible du F.333 par rapport au F.32, le choix a été fait de supposer une ventilation EU/DV similaire entre F.333 et F.32 et donc de calculer une clé de répartition du F.32 sur la période 1977/1994 sur la base 2000 pour chaque secteur (non résident, établissements de crédits, autres intermédiaires financiers), à l’actif et au passif, et d’appliquer ces clés sur le F.333 toutes monnaies (TT) sur la période 1977/1994. Cette méthode donne par ailleurs de bons résultats sur la période 1995-2009. </w:t>
      </w:r>
    </w:p>
    <w:p w:rsidR="00AF1502" w:rsidRPr="00AF1502" w:rsidRDefault="00AF1502" w:rsidP="00AF1502">
      <w:pPr>
        <w:pStyle w:val="Sansinterligne"/>
        <w:jc w:val="both"/>
        <w:rPr>
          <w:rFonts w:ascii="Arial" w:eastAsiaTheme="majorEastAsia" w:hAnsi="Arial" w:cs="Arial"/>
          <w:sz w:val="20"/>
          <w:szCs w:val="20"/>
        </w:rPr>
      </w:pPr>
    </w:p>
    <w:p w:rsidR="00AF1502" w:rsidRPr="00AF1502" w:rsidRDefault="00AF1502" w:rsidP="00AF1502">
      <w:pPr>
        <w:pStyle w:val="Sansinterligne"/>
        <w:jc w:val="both"/>
        <w:rPr>
          <w:rFonts w:ascii="Arial" w:eastAsiaTheme="majorEastAsia" w:hAnsi="Arial" w:cs="Arial"/>
          <w:sz w:val="20"/>
          <w:szCs w:val="20"/>
        </w:rPr>
      </w:pPr>
      <w:r w:rsidRPr="00AF1502">
        <w:rPr>
          <w:rFonts w:ascii="Arial" w:eastAsiaTheme="majorEastAsia" w:hAnsi="Arial" w:cs="Arial"/>
          <w:sz w:val="20"/>
          <w:szCs w:val="20"/>
        </w:rPr>
        <w:tab/>
      </w:r>
      <w:r w:rsidRPr="00AF1502">
        <w:rPr>
          <w:rFonts w:ascii="Arial" w:eastAsiaTheme="majorEastAsia" w:hAnsi="Arial" w:cs="Arial"/>
          <w:sz w:val="20"/>
          <w:szCs w:val="20"/>
        </w:rPr>
        <w:tab/>
      </w:r>
    </w:p>
    <w:p w:rsidR="00AF1502" w:rsidRPr="00AF1502" w:rsidRDefault="00AF1502" w:rsidP="00AF1502">
      <w:pPr>
        <w:pStyle w:val="Sansinterligne"/>
        <w:jc w:val="both"/>
        <w:rPr>
          <w:rFonts w:ascii="Arial" w:eastAsiaTheme="majorEastAsia" w:hAnsi="Arial" w:cs="Arial"/>
          <w:sz w:val="20"/>
          <w:szCs w:val="20"/>
        </w:rPr>
      </w:pPr>
    </w:p>
    <w:p w:rsidR="00AF1502" w:rsidRPr="00AF1502" w:rsidRDefault="00AF1502" w:rsidP="00AF1502">
      <w:pPr>
        <w:pStyle w:val="Sansinterligne"/>
        <w:numPr>
          <w:ilvl w:val="1"/>
          <w:numId w:val="41"/>
        </w:numPr>
        <w:jc w:val="both"/>
        <w:rPr>
          <w:rFonts w:ascii="Arial" w:eastAsiaTheme="majorEastAsia" w:hAnsi="Arial" w:cs="Arial"/>
          <w:sz w:val="20"/>
          <w:szCs w:val="20"/>
          <w:u w:val="single"/>
        </w:rPr>
      </w:pPr>
      <w:r w:rsidRPr="00AF1502">
        <w:rPr>
          <w:rFonts w:ascii="Arial" w:eastAsiaTheme="majorEastAsia" w:hAnsi="Arial" w:cs="Arial"/>
          <w:sz w:val="20"/>
          <w:szCs w:val="20"/>
          <w:u w:val="single"/>
        </w:rPr>
        <w:t>Ventilation du F.380 en F.31</w:t>
      </w:r>
    </w:p>
    <w:p w:rsidR="00AF1502" w:rsidRPr="00AF1502" w:rsidRDefault="00AF1502" w:rsidP="00AF1502">
      <w:pPr>
        <w:pStyle w:val="Sansinterligne"/>
        <w:jc w:val="both"/>
        <w:rPr>
          <w:rFonts w:ascii="Arial" w:eastAsiaTheme="majorEastAsia" w:hAnsi="Arial" w:cs="Arial"/>
          <w:sz w:val="20"/>
          <w:szCs w:val="20"/>
        </w:rPr>
      </w:pPr>
    </w:p>
    <w:p w:rsidR="00AF1502" w:rsidRPr="00AF1502" w:rsidRDefault="00AF1502" w:rsidP="00AF1502">
      <w:pPr>
        <w:pStyle w:val="Sansinterligne"/>
        <w:jc w:val="both"/>
        <w:rPr>
          <w:rFonts w:ascii="Arial" w:eastAsiaTheme="majorEastAsia" w:hAnsi="Arial" w:cs="Arial"/>
          <w:sz w:val="20"/>
          <w:szCs w:val="20"/>
        </w:rPr>
      </w:pPr>
      <w:r w:rsidRPr="00AF1502">
        <w:rPr>
          <w:rFonts w:ascii="Arial" w:eastAsiaTheme="majorEastAsia" w:hAnsi="Arial" w:cs="Arial"/>
          <w:sz w:val="20"/>
          <w:szCs w:val="20"/>
        </w:rPr>
        <w:t xml:space="preserve">Les intérêts courus non échus sur TCN (F.38) représentent les intérêts déjà générés par un TCN et qui ne sont pas encore versés. </w:t>
      </w:r>
    </w:p>
    <w:p w:rsidR="00AF1502" w:rsidRPr="00AF1502" w:rsidRDefault="00AF1502" w:rsidP="00AF1502">
      <w:pPr>
        <w:pStyle w:val="Sansinterligne"/>
        <w:jc w:val="both"/>
        <w:rPr>
          <w:rFonts w:ascii="Arial" w:eastAsiaTheme="majorEastAsia" w:hAnsi="Arial" w:cs="Arial"/>
          <w:sz w:val="20"/>
          <w:szCs w:val="20"/>
        </w:rPr>
      </w:pPr>
      <w:r w:rsidRPr="00AF1502">
        <w:rPr>
          <w:rFonts w:ascii="Arial" w:eastAsiaTheme="majorEastAsia" w:hAnsi="Arial" w:cs="Arial"/>
          <w:sz w:val="20"/>
          <w:szCs w:val="20"/>
        </w:rPr>
        <w:t>En base 2000, alors que les intérêts courus non échus sur obligations sont déjà intégrés dans leur support (F.332), les intérêts courus non échus sur titres de créances négociables sont enregistrés dans une ligne comptable (F.380) distincte du F.331</w:t>
      </w:r>
      <w:r w:rsidRPr="00AF1502">
        <w:rPr>
          <w:rFonts w:ascii="Arial" w:eastAsiaTheme="majorEastAsia" w:hAnsi="Arial" w:cs="Arial"/>
          <w:sz w:val="20"/>
          <w:szCs w:val="20"/>
        </w:rPr>
        <w:tab/>
      </w:r>
    </w:p>
    <w:p w:rsidR="00AF1502" w:rsidRPr="00AF1502" w:rsidRDefault="00AF1502" w:rsidP="00AF1502">
      <w:pPr>
        <w:pStyle w:val="Sansinterligne"/>
        <w:jc w:val="both"/>
        <w:rPr>
          <w:rFonts w:ascii="Arial" w:eastAsiaTheme="majorEastAsia" w:hAnsi="Arial" w:cs="Arial"/>
          <w:sz w:val="20"/>
          <w:szCs w:val="20"/>
        </w:rPr>
      </w:pPr>
    </w:p>
    <w:p w:rsidR="00AF1502" w:rsidRPr="00AF1502" w:rsidRDefault="00AF1502" w:rsidP="00AF1502">
      <w:pPr>
        <w:pStyle w:val="Sansinterligne"/>
        <w:jc w:val="both"/>
        <w:rPr>
          <w:rFonts w:ascii="Arial" w:eastAsiaTheme="majorEastAsia" w:hAnsi="Arial" w:cs="Arial"/>
          <w:color w:val="365F91" w:themeColor="accent1" w:themeShade="BF"/>
          <w:sz w:val="20"/>
          <w:szCs w:val="20"/>
        </w:rPr>
      </w:pPr>
      <w:r w:rsidRPr="00AF1502">
        <w:rPr>
          <w:rFonts w:ascii="Arial" w:eastAsiaTheme="majorEastAsia" w:hAnsi="Arial" w:cs="Arial"/>
          <w:sz w:val="20"/>
          <w:szCs w:val="20"/>
        </w:rPr>
        <w:t>L’instrument F.38 (base 2000) est réintégré dans les titres de créance court terme (F.31) et, là encore, une répartition doit être opérée entre euro et devises étrangères. Le même type de clé de ventilation est appliquée (calcul de la répartition du F.31 EU/DV sur 1977/1994 sur le base 2000 et application des clés sur le F.380 TT sur la période 1977/1994), avec en plus cette fois-ci la justification que la répartition des intérêts courus non échus est à peu près proportionnelle à celle des encours (avec la limite que le niveau des taux d’intérêts peut néanmoins différer entre les devises)</w:t>
      </w:r>
      <w:r w:rsidRPr="00AF1502">
        <w:rPr>
          <w:rFonts w:ascii="Arial" w:eastAsiaTheme="majorEastAsia" w:hAnsi="Arial" w:cs="Arial"/>
          <w:sz w:val="20"/>
          <w:szCs w:val="20"/>
        </w:rPr>
        <w:tab/>
      </w:r>
      <w:r w:rsidRPr="00AF1502">
        <w:rPr>
          <w:rFonts w:ascii="Arial" w:eastAsiaTheme="majorEastAsia" w:hAnsi="Arial" w:cs="Arial"/>
          <w:color w:val="365F91" w:themeColor="accent1" w:themeShade="BF"/>
          <w:sz w:val="20"/>
          <w:szCs w:val="20"/>
        </w:rPr>
        <w:tab/>
      </w:r>
      <w:r w:rsidRPr="00AF1502">
        <w:rPr>
          <w:rFonts w:ascii="Arial" w:eastAsiaTheme="majorEastAsia" w:hAnsi="Arial" w:cs="Arial"/>
          <w:color w:val="365F91" w:themeColor="accent1" w:themeShade="BF"/>
          <w:sz w:val="20"/>
          <w:szCs w:val="20"/>
        </w:rPr>
        <w:tab/>
      </w:r>
      <w:r w:rsidRPr="00AF1502">
        <w:rPr>
          <w:rFonts w:ascii="Arial" w:eastAsiaTheme="majorEastAsia" w:hAnsi="Arial" w:cs="Arial"/>
          <w:color w:val="365F91" w:themeColor="accent1" w:themeShade="BF"/>
          <w:sz w:val="20"/>
          <w:szCs w:val="20"/>
        </w:rPr>
        <w:tab/>
      </w:r>
      <w:r w:rsidRPr="00AF1502">
        <w:rPr>
          <w:rFonts w:ascii="Arial" w:eastAsiaTheme="majorEastAsia" w:hAnsi="Arial" w:cs="Arial"/>
          <w:color w:val="365F91" w:themeColor="accent1" w:themeShade="BF"/>
          <w:sz w:val="20"/>
          <w:szCs w:val="20"/>
        </w:rPr>
        <w:tab/>
      </w:r>
      <w:r w:rsidRPr="00AF1502">
        <w:rPr>
          <w:rFonts w:ascii="Arial" w:eastAsiaTheme="majorEastAsia" w:hAnsi="Arial" w:cs="Arial"/>
          <w:color w:val="365F91" w:themeColor="accent1" w:themeShade="BF"/>
          <w:sz w:val="20"/>
          <w:szCs w:val="20"/>
        </w:rPr>
        <w:tab/>
      </w:r>
      <w:r w:rsidRPr="00AF1502">
        <w:rPr>
          <w:rFonts w:ascii="Arial" w:eastAsiaTheme="majorEastAsia" w:hAnsi="Arial" w:cs="Arial"/>
          <w:color w:val="365F91" w:themeColor="accent1" w:themeShade="BF"/>
          <w:sz w:val="20"/>
          <w:szCs w:val="20"/>
        </w:rPr>
        <w:tab/>
      </w:r>
      <w:r w:rsidRPr="00AF1502">
        <w:rPr>
          <w:rFonts w:ascii="Arial" w:eastAsiaTheme="majorEastAsia" w:hAnsi="Arial" w:cs="Arial"/>
          <w:color w:val="365F91" w:themeColor="accent1" w:themeShade="BF"/>
          <w:sz w:val="20"/>
          <w:szCs w:val="20"/>
        </w:rPr>
        <w:tab/>
      </w:r>
      <w:r w:rsidRPr="00AF1502">
        <w:rPr>
          <w:rFonts w:ascii="Arial" w:eastAsiaTheme="majorEastAsia" w:hAnsi="Arial" w:cs="Arial"/>
          <w:color w:val="365F91" w:themeColor="accent1" w:themeShade="BF"/>
          <w:sz w:val="20"/>
          <w:szCs w:val="20"/>
        </w:rPr>
        <w:tab/>
      </w:r>
      <w:r w:rsidRPr="00AF1502">
        <w:rPr>
          <w:rFonts w:ascii="Arial" w:eastAsiaTheme="majorEastAsia" w:hAnsi="Arial" w:cs="Arial"/>
          <w:color w:val="365F91" w:themeColor="accent1" w:themeShade="BF"/>
          <w:sz w:val="20"/>
          <w:szCs w:val="20"/>
        </w:rPr>
        <w:tab/>
      </w:r>
      <w:r w:rsidRPr="00AF1502">
        <w:rPr>
          <w:rFonts w:ascii="Arial" w:eastAsiaTheme="majorEastAsia" w:hAnsi="Arial" w:cs="Arial"/>
          <w:color w:val="365F91" w:themeColor="accent1" w:themeShade="BF"/>
          <w:sz w:val="20"/>
          <w:szCs w:val="20"/>
        </w:rPr>
        <w:tab/>
      </w:r>
    </w:p>
    <w:p w:rsidR="00AF1502" w:rsidRPr="00AF1502" w:rsidRDefault="00AF1502" w:rsidP="00AF1502">
      <w:pPr>
        <w:pStyle w:val="Sansinterligne"/>
        <w:jc w:val="both"/>
        <w:rPr>
          <w:rFonts w:ascii="Arial" w:eastAsiaTheme="majorEastAsia" w:hAnsi="Arial" w:cs="Arial"/>
          <w:color w:val="365F91" w:themeColor="accent1" w:themeShade="BF"/>
          <w:sz w:val="20"/>
          <w:szCs w:val="20"/>
        </w:rPr>
      </w:pPr>
    </w:p>
    <w:p w:rsidR="00AF1502" w:rsidRPr="00AF1502" w:rsidRDefault="00AF1502" w:rsidP="00AF1502">
      <w:pPr>
        <w:pStyle w:val="Sansinterligne"/>
        <w:jc w:val="both"/>
        <w:rPr>
          <w:rFonts w:ascii="Arial" w:eastAsiaTheme="majorEastAsia" w:hAnsi="Arial" w:cs="Arial"/>
          <w:color w:val="365F91" w:themeColor="accent1" w:themeShade="BF"/>
          <w:sz w:val="20"/>
          <w:szCs w:val="20"/>
        </w:rPr>
      </w:pPr>
    </w:p>
    <w:p w:rsidR="00AF1502" w:rsidRPr="00AF1502" w:rsidRDefault="00AF1502" w:rsidP="00AF1502">
      <w:pPr>
        <w:pStyle w:val="Sansinterligne"/>
        <w:jc w:val="both"/>
        <w:rPr>
          <w:rFonts w:ascii="Arial" w:eastAsiaTheme="majorEastAsia" w:hAnsi="Arial" w:cs="Arial"/>
          <w:color w:val="365F91" w:themeColor="accent1" w:themeShade="BF"/>
          <w:sz w:val="20"/>
          <w:szCs w:val="20"/>
        </w:rPr>
      </w:pPr>
    </w:p>
    <w:p w:rsidR="00AF1502" w:rsidRPr="00AF1502" w:rsidRDefault="00AF1502" w:rsidP="00AF1502">
      <w:pPr>
        <w:pStyle w:val="Sansinterligne"/>
        <w:jc w:val="both"/>
        <w:rPr>
          <w:rFonts w:ascii="Arial" w:eastAsiaTheme="majorEastAsia" w:hAnsi="Arial" w:cs="Arial"/>
          <w:color w:val="365F91" w:themeColor="accent1" w:themeShade="BF"/>
          <w:sz w:val="20"/>
          <w:szCs w:val="20"/>
        </w:rPr>
      </w:pPr>
      <w:r w:rsidRPr="00AF1502">
        <w:rPr>
          <w:rFonts w:ascii="Arial" w:eastAsiaTheme="majorEastAsia" w:hAnsi="Arial" w:cs="Arial"/>
          <w:color w:val="365F91" w:themeColor="accent1" w:themeShade="BF"/>
          <w:sz w:val="20"/>
          <w:szCs w:val="20"/>
        </w:rPr>
        <w:tab/>
      </w:r>
      <w:r w:rsidRPr="00AF1502">
        <w:rPr>
          <w:rFonts w:ascii="Arial" w:eastAsiaTheme="majorEastAsia" w:hAnsi="Arial" w:cs="Arial"/>
          <w:color w:val="365F91" w:themeColor="accent1" w:themeShade="BF"/>
          <w:sz w:val="20"/>
          <w:szCs w:val="20"/>
        </w:rPr>
        <w:tab/>
      </w:r>
    </w:p>
    <w:p w:rsidR="00AF1502" w:rsidRPr="00AF1502" w:rsidRDefault="00AF1502" w:rsidP="00AF1502">
      <w:pPr>
        <w:pStyle w:val="Sansinterligne"/>
        <w:jc w:val="both"/>
        <w:rPr>
          <w:rFonts w:ascii="Arial" w:eastAsiaTheme="majorEastAsia" w:hAnsi="Arial" w:cs="Arial"/>
          <w:color w:val="365F91" w:themeColor="accent1" w:themeShade="BF"/>
          <w:sz w:val="20"/>
          <w:szCs w:val="20"/>
        </w:rPr>
      </w:pPr>
    </w:p>
    <w:p w:rsidR="00AF1502" w:rsidRPr="00AF1502" w:rsidRDefault="00AF1502" w:rsidP="00AF1502">
      <w:pPr>
        <w:pStyle w:val="Sansinterligne"/>
        <w:numPr>
          <w:ilvl w:val="1"/>
          <w:numId w:val="41"/>
        </w:numPr>
        <w:jc w:val="both"/>
        <w:rPr>
          <w:rFonts w:ascii="Arial" w:eastAsiaTheme="majorEastAsia" w:hAnsi="Arial" w:cs="Arial"/>
          <w:sz w:val="20"/>
          <w:szCs w:val="20"/>
          <w:u w:val="single"/>
        </w:rPr>
      </w:pPr>
      <w:r w:rsidRPr="00AF1502">
        <w:rPr>
          <w:rFonts w:ascii="Arial" w:eastAsiaTheme="majorEastAsia" w:hAnsi="Arial" w:cs="Arial"/>
          <w:sz w:val="20"/>
          <w:szCs w:val="20"/>
          <w:u w:val="single"/>
        </w:rPr>
        <w:t>Ventilation du F.512 (SEC 1995) en F.512 et F519 (SEC 2010)</w:t>
      </w:r>
    </w:p>
    <w:p w:rsidR="00AF1502" w:rsidRPr="00AF1502" w:rsidRDefault="00AF1502" w:rsidP="00AF1502">
      <w:pPr>
        <w:jc w:val="both"/>
        <w:rPr>
          <w:rFonts w:ascii="Arial" w:hAnsi="Arial" w:cs="Arial"/>
        </w:rPr>
      </w:pPr>
      <w:r w:rsidRPr="00AF1502">
        <w:rPr>
          <w:rFonts w:ascii="Arial" w:hAnsi="Arial" w:cs="Arial"/>
        </w:rPr>
        <w:t>Les actions non cotées (F.512) ont été regroupées avec les autres participations (F.513) en F.512 dans la base 2000.</w:t>
      </w:r>
    </w:p>
    <w:p w:rsidR="00AF1502" w:rsidRPr="00AF1502" w:rsidRDefault="00AF1502" w:rsidP="00AF1502">
      <w:pPr>
        <w:jc w:val="both"/>
        <w:rPr>
          <w:rFonts w:ascii="Arial" w:hAnsi="Arial" w:cs="Arial"/>
        </w:rPr>
      </w:pPr>
    </w:p>
    <w:p w:rsidR="00AF1502" w:rsidRPr="00AF1502" w:rsidRDefault="00AF1502" w:rsidP="00AF1502">
      <w:pPr>
        <w:jc w:val="both"/>
        <w:rPr>
          <w:rFonts w:ascii="Arial" w:hAnsi="Arial" w:cs="Arial"/>
        </w:rPr>
      </w:pPr>
      <w:r w:rsidRPr="00AF1502">
        <w:rPr>
          <w:rFonts w:ascii="Arial" w:hAnsi="Arial" w:cs="Arial"/>
        </w:rPr>
        <w:t>Pour fournir cette distinction entre actions non cotées (F.152) et autres participations (F.519) présente en base 2014 mais absente de la base 2000, nous avons calculé, pour chaque secteur, la répartition moyenne observée en base 2014 entre 1995 et 2009 et appliquée cette répartition à la période 1977-1994.</w:t>
      </w:r>
    </w:p>
    <w:p w:rsidR="00AF1502" w:rsidRPr="00AF1502" w:rsidRDefault="00AF1502" w:rsidP="00AF1502">
      <w:pPr>
        <w:jc w:val="both"/>
        <w:rPr>
          <w:rFonts w:ascii="Arial" w:hAnsi="Arial" w:cs="Arial"/>
        </w:rPr>
      </w:pPr>
    </w:p>
    <w:p w:rsidR="00AF1502" w:rsidRPr="00AF1502" w:rsidRDefault="00AF1502" w:rsidP="00AF1502">
      <w:pPr>
        <w:jc w:val="both"/>
        <w:rPr>
          <w:rFonts w:ascii="Arial" w:hAnsi="Arial" w:cs="Arial"/>
        </w:rPr>
      </w:pPr>
    </w:p>
    <w:p w:rsidR="00AF1502" w:rsidRPr="00AF1502" w:rsidRDefault="00AF1502" w:rsidP="00AF1502">
      <w:pPr>
        <w:pStyle w:val="Sansinterligne"/>
        <w:jc w:val="both"/>
        <w:rPr>
          <w:rFonts w:ascii="Arial" w:eastAsiaTheme="majorEastAsia" w:hAnsi="Arial" w:cs="Arial"/>
          <w:color w:val="365F91" w:themeColor="accent1" w:themeShade="BF"/>
          <w:sz w:val="20"/>
          <w:szCs w:val="20"/>
        </w:rPr>
      </w:pPr>
      <w:r w:rsidRPr="00AF1502">
        <w:rPr>
          <w:rFonts w:ascii="Arial" w:eastAsiaTheme="majorEastAsia" w:hAnsi="Arial" w:cs="Arial"/>
          <w:noProof/>
          <w:color w:val="365F91" w:themeColor="accent1" w:themeShade="BF"/>
          <w:sz w:val="20"/>
          <w:szCs w:val="20"/>
          <w:lang w:eastAsia="fr-FR"/>
        </w:rPr>
        <w:lastRenderedPageBreak/>
        <w:drawing>
          <wp:inline distT="0" distB="0" distL="0" distR="0" wp14:anchorId="78DF52E3" wp14:editId="2A7BBA83">
            <wp:extent cx="4896533" cy="6516009"/>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96533" cy="6516009"/>
                    </a:xfrm>
                    <a:prstGeom prst="rect">
                      <a:avLst/>
                    </a:prstGeom>
                  </pic:spPr>
                </pic:pic>
              </a:graphicData>
            </a:graphic>
          </wp:inline>
        </w:drawing>
      </w:r>
    </w:p>
    <w:p w:rsidR="00AF1502" w:rsidRPr="00AF1502" w:rsidRDefault="00AF1502" w:rsidP="00AF1502">
      <w:pPr>
        <w:pStyle w:val="Sansinterligne"/>
        <w:jc w:val="both"/>
        <w:rPr>
          <w:rFonts w:ascii="Arial" w:eastAsiaTheme="majorEastAsia" w:hAnsi="Arial" w:cs="Arial"/>
          <w:sz w:val="20"/>
          <w:szCs w:val="20"/>
        </w:rPr>
      </w:pPr>
      <w:r w:rsidRPr="00AF1502">
        <w:rPr>
          <w:rFonts w:ascii="Arial" w:eastAsiaTheme="majorEastAsia" w:hAnsi="Arial" w:cs="Arial"/>
          <w:sz w:val="20"/>
          <w:szCs w:val="20"/>
        </w:rPr>
        <w:t>Dans la grande majorité des cas, la volatilité du partage entre F.512 et F.519 est relativement contenue. Par ailleurs, les cas avec des volatilités plus importantes concernent généralement des secteurs avec des encours faibles ce qui rend l’approximation acceptable.</w:t>
      </w:r>
    </w:p>
    <w:p w:rsidR="00AF1502" w:rsidRPr="00AF1502" w:rsidRDefault="00AF1502" w:rsidP="00AF1502">
      <w:pPr>
        <w:pStyle w:val="Sansinterligne"/>
        <w:jc w:val="both"/>
        <w:rPr>
          <w:rFonts w:ascii="Arial" w:eastAsiaTheme="majorEastAsia" w:hAnsi="Arial" w:cs="Arial"/>
          <w:sz w:val="20"/>
          <w:szCs w:val="20"/>
        </w:rPr>
      </w:pPr>
    </w:p>
    <w:p w:rsidR="00AF1502" w:rsidRPr="00AF1502" w:rsidRDefault="00AF1502" w:rsidP="00AF1502">
      <w:pPr>
        <w:pStyle w:val="Sansinterligne"/>
        <w:numPr>
          <w:ilvl w:val="1"/>
          <w:numId w:val="41"/>
        </w:numPr>
        <w:jc w:val="both"/>
        <w:rPr>
          <w:rFonts w:ascii="Arial" w:eastAsiaTheme="majorEastAsia" w:hAnsi="Arial" w:cs="Arial"/>
          <w:sz w:val="20"/>
          <w:szCs w:val="20"/>
          <w:u w:val="single"/>
        </w:rPr>
      </w:pPr>
      <w:r w:rsidRPr="00AF1502">
        <w:rPr>
          <w:rFonts w:ascii="Arial" w:eastAsiaTheme="majorEastAsia" w:hAnsi="Arial" w:cs="Arial"/>
          <w:sz w:val="20"/>
          <w:szCs w:val="20"/>
          <w:u w:val="single"/>
        </w:rPr>
        <w:t>Ajout du F.523 au F.522</w:t>
      </w:r>
    </w:p>
    <w:p w:rsidR="00AF1502" w:rsidRPr="00AF1502" w:rsidRDefault="00AF1502" w:rsidP="00AF1502">
      <w:pPr>
        <w:pStyle w:val="Sansinterligne"/>
        <w:jc w:val="both"/>
        <w:rPr>
          <w:rFonts w:ascii="Arial" w:eastAsiaTheme="majorEastAsia" w:hAnsi="Arial" w:cs="Arial"/>
          <w:color w:val="365F91" w:themeColor="accent1" w:themeShade="BF"/>
          <w:sz w:val="20"/>
          <w:szCs w:val="20"/>
        </w:rPr>
      </w:pPr>
    </w:p>
    <w:p w:rsidR="00AF1502" w:rsidRPr="00AF1502" w:rsidRDefault="00AF1502" w:rsidP="00AF1502">
      <w:pPr>
        <w:pStyle w:val="Sansinterligne"/>
        <w:jc w:val="both"/>
        <w:rPr>
          <w:rFonts w:ascii="Arial" w:eastAsiaTheme="majorEastAsia" w:hAnsi="Arial" w:cs="Arial"/>
          <w:sz w:val="20"/>
          <w:szCs w:val="20"/>
        </w:rPr>
      </w:pPr>
      <w:r w:rsidRPr="00AF1502">
        <w:rPr>
          <w:rFonts w:ascii="Arial" w:eastAsiaTheme="majorEastAsia" w:hAnsi="Arial" w:cs="Arial"/>
          <w:sz w:val="20"/>
          <w:szCs w:val="20"/>
        </w:rPr>
        <w:t>En base 2000, la sous-position F.523 recouvre les opérations sur titres de fonds d’investissement divers, qui reprennent les parts de fonds communs de placement à risques (FCPR), de fonds communs de placement d’entreprises (FCPE), de fonds communs sur les marchés à terme, de sociétés civiles en placements immobiliers (SCPI) et d’OPCVM étrangers.</w:t>
      </w:r>
    </w:p>
    <w:p w:rsidR="00AF1502" w:rsidRPr="00AF1502" w:rsidRDefault="00AF1502" w:rsidP="00AF1502">
      <w:pPr>
        <w:pStyle w:val="Sansinterligne"/>
        <w:jc w:val="both"/>
        <w:rPr>
          <w:rFonts w:ascii="Arial" w:eastAsiaTheme="majorEastAsia" w:hAnsi="Arial" w:cs="Arial"/>
          <w:sz w:val="20"/>
          <w:szCs w:val="20"/>
        </w:rPr>
      </w:pPr>
    </w:p>
    <w:p w:rsidR="00AF1502" w:rsidRPr="00AF1502" w:rsidRDefault="00AF1502" w:rsidP="00AF1502">
      <w:pPr>
        <w:pStyle w:val="Sansinterligne"/>
        <w:jc w:val="both"/>
        <w:rPr>
          <w:rFonts w:ascii="Arial" w:eastAsiaTheme="majorEastAsia" w:hAnsi="Arial" w:cs="Arial"/>
          <w:sz w:val="20"/>
          <w:szCs w:val="20"/>
        </w:rPr>
      </w:pPr>
      <w:r w:rsidRPr="00AF1502">
        <w:rPr>
          <w:rFonts w:ascii="Arial" w:eastAsiaTheme="majorEastAsia" w:hAnsi="Arial" w:cs="Arial"/>
          <w:sz w:val="20"/>
          <w:szCs w:val="20"/>
        </w:rPr>
        <w:t xml:space="preserve">Cet instrument F.523 est intégralement repris dans les parts d’OPC non monétaires (F.522) et aucun problème méthodologique supplémentaire n’est à relever. </w:t>
      </w:r>
    </w:p>
    <w:p w:rsidR="00AF1502" w:rsidRDefault="00AF1502" w:rsidP="00AF1502">
      <w:pPr>
        <w:pStyle w:val="Sansinterligne"/>
        <w:jc w:val="both"/>
        <w:rPr>
          <w:rFonts w:ascii="Arial" w:eastAsiaTheme="majorEastAsia" w:hAnsi="Arial" w:cs="Arial"/>
          <w:sz w:val="20"/>
          <w:szCs w:val="20"/>
        </w:rPr>
      </w:pPr>
    </w:p>
    <w:p w:rsidR="00AF1502" w:rsidRDefault="00AF1502" w:rsidP="00AF1502">
      <w:pPr>
        <w:pStyle w:val="Sansinterligne"/>
        <w:jc w:val="both"/>
        <w:rPr>
          <w:rFonts w:ascii="Arial" w:eastAsiaTheme="majorEastAsia" w:hAnsi="Arial" w:cs="Arial"/>
          <w:sz w:val="20"/>
          <w:szCs w:val="20"/>
        </w:rPr>
      </w:pPr>
    </w:p>
    <w:p w:rsidR="00AF1502" w:rsidRDefault="00AF1502" w:rsidP="00AF1502">
      <w:pPr>
        <w:pStyle w:val="Sansinterligne"/>
        <w:jc w:val="both"/>
        <w:rPr>
          <w:rFonts w:ascii="Arial" w:eastAsiaTheme="majorEastAsia" w:hAnsi="Arial" w:cs="Arial"/>
          <w:sz w:val="20"/>
          <w:szCs w:val="20"/>
        </w:rPr>
      </w:pPr>
    </w:p>
    <w:p w:rsidR="00AF1502" w:rsidRDefault="00AF1502" w:rsidP="00AF1502">
      <w:pPr>
        <w:pStyle w:val="Sansinterligne"/>
        <w:jc w:val="both"/>
        <w:rPr>
          <w:rFonts w:ascii="Arial" w:eastAsiaTheme="majorEastAsia" w:hAnsi="Arial" w:cs="Arial"/>
          <w:sz w:val="20"/>
          <w:szCs w:val="20"/>
        </w:rPr>
      </w:pPr>
    </w:p>
    <w:p w:rsidR="00AF1502" w:rsidRPr="00AF1502" w:rsidRDefault="00AF1502" w:rsidP="00AF1502">
      <w:pPr>
        <w:pStyle w:val="Sansinterligne"/>
        <w:jc w:val="both"/>
        <w:rPr>
          <w:rFonts w:ascii="Arial" w:eastAsiaTheme="majorEastAsia" w:hAnsi="Arial" w:cs="Arial"/>
          <w:sz w:val="20"/>
          <w:szCs w:val="20"/>
        </w:rPr>
      </w:pPr>
    </w:p>
    <w:p w:rsidR="00AF1502" w:rsidRPr="00AF1502" w:rsidRDefault="00AF1502" w:rsidP="00AF1502">
      <w:pPr>
        <w:pStyle w:val="Sansinterligne"/>
        <w:numPr>
          <w:ilvl w:val="1"/>
          <w:numId w:val="41"/>
        </w:numPr>
        <w:jc w:val="both"/>
        <w:rPr>
          <w:rFonts w:ascii="Arial" w:eastAsiaTheme="majorEastAsia" w:hAnsi="Arial" w:cs="Arial"/>
          <w:sz w:val="20"/>
          <w:szCs w:val="20"/>
          <w:u w:val="single"/>
        </w:rPr>
      </w:pPr>
      <w:r w:rsidRPr="00AF1502">
        <w:rPr>
          <w:rFonts w:ascii="Arial" w:eastAsiaTheme="majorEastAsia" w:hAnsi="Arial" w:cs="Arial"/>
          <w:sz w:val="20"/>
          <w:szCs w:val="20"/>
          <w:u w:val="single"/>
        </w:rPr>
        <w:t>Ventilation du F.611 en F.621 et F.622</w:t>
      </w:r>
    </w:p>
    <w:p w:rsidR="00AF1502" w:rsidRPr="00AF1502" w:rsidRDefault="00AF1502" w:rsidP="00AF1502">
      <w:pPr>
        <w:pStyle w:val="Sansinterligne"/>
        <w:jc w:val="both"/>
        <w:rPr>
          <w:rFonts w:ascii="Arial" w:eastAsiaTheme="majorEastAsia" w:hAnsi="Arial" w:cs="Arial"/>
          <w:i/>
          <w:sz w:val="20"/>
          <w:szCs w:val="20"/>
        </w:rPr>
      </w:pPr>
    </w:p>
    <w:p w:rsidR="00AF1502" w:rsidRPr="00AF1502" w:rsidRDefault="00AF1502" w:rsidP="00AF1502">
      <w:pPr>
        <w:pStyle w:val="Sansinterligne"/>
        <w:jc w:val="both"/>
        <w:rPr>
          <w:rFonts w:ascii="Arial" w:eastAsiaTheme="majorEastAsia" w:hAnsi="Arial" w:cs="Arial"/>
          <w:sz w:val="20"/>
          <w:szCs w:val="20"/>
        </w:rPr>
      </w:pPr>
      <w:r w:rsidRPr="00AF1502">
        <w:rPr>
          <w:rFonts w:ascii="Arial" w:eastAsiaTheme="majorEastAsia" w:hAnsi="Arial" w:cs="Arial"/>
          <w:sz w:val="20"/>
          <w:szCs w:val="20"/>
        </w:rPr>
        <w:t>La décomposition prévue par le SEC 1995 entre droits nets des ménages sur les réserves techniques d'assurance-vie (F.611) et droits nets des ménages sur les fonds de pension (F.612) n’était pas opérée dans la base 2000. Les deux étaient regroupés dans la ligne comptable F.611.</w:t>
      </w:r>
    </w:p>
    <w:p w:rsidR="00AF1502" w:rsidRPr="00AF1502" w:rsidRDefault="00AF1502" w:rsidP="00AF1502">
      <w:pPr>
        <w:pStyle w:val="Sansinterligne"/>
        <w:jc w:val="both"/>
        <w:rPr>
          <w:rFonts w:ascii="Arial" w:eastAsiaTheme="majorEastAsia" w:hAnsi="Arial" w:cs="Arial"/>
          <w:sz w:val="20"/>
          <w:szCs w:val="20"/>
        </w:rPr>
      </w:pPr>
    </w:p>
    <w:p w:rsidR="00AF1502" w:rsidRPr="00AF1502" w:rsidRDefault="00AF1502" w:rsidP="00AF1502">
      <w:pPr>
        <w:jc w:val="both"/>
        <w:rPr>
          <w:rFonts w:ascii="Arial" w:hAnsi="Arial" w:cs="Arial"/>
        </w:rPr>
      </w:pPr>
      <w:r w:rsidRPr="00AF1502">
        <w:rPr>
          <w:rFonts w:ascii="Arial" w:hAnsi="Arial" w:cs="Arial"/>
        </w:rPr>
        <w:t>Pour fournir cette distinction présente en base 2014 mais absente de la base 2000, nous avons calculé, la répartition moyenne observée en base 2014 entre 1995 et 2009 et appliqué cette répartition à la période 1997-1994. Ce choix méthodologique reste cependant très fragile étant donné qu’une clé fixe avait déjà été utilisée pour estimer ces séries avant 2009 et nous présumons qu’il y avait beaucoup moins de pensions dans les années 80 et 90. La construction de ces séries fera l’objet d’une étude spécifique et sera revue ultérieurement.</w:t>
      </w:r>
    </w:p>
    <w:p w:rsidR="00AF1502" w:rsidRPr="00AF1502" w:rsidRDefault="00AF1502" w:rsidP="00AF1502">
      <w:pPr>
        <w:pStyle w:val="Sansinterligne"/>
        <w:jc w:val="both"/>
        <w:rPr>
          <w:rFonts w:ascii="Arial" w:eastAsiaTheme="majorEastAsia" w:hAnsi="Arial" w:cs="Arial"/>
          <w:color w:val="365F91" w:themeColor="accent1" w:themeShade="BF"/>
          <w:sz w:val="20"/>
          <w:szCs w:val="20"/>
        </w:rPr>
      </w:pPr>
    </w:p>
    <w:p w:rsidR="00AF1502" w:rsidRPr="00AF1502" w:rsidRDefault="00AF1502" w:rsidP="00AF1502">
      <w:pPr>
        <w:pStyle w:val="Sansinterligne"/>
        <w:jc w:val="both"/>
        <w:rPr>
          <w:rFonts w:ascii="Arial" w:eastAsiaTheme="majorEastAsia" w:hAnsi="Arial" w:cs="Arial"/>
          <w:color w:val="365F91" w:themeColor="accent1" w:themeShade="BF"/>
          <w:sz w:val="20"/>
          <w:szCs w:val="20"/>
        </w:rPr>
      </w:pPr>
      <w:r w:rsidRPr="00AF1502">
        <w:rPr>
          <w:rFonts w:ascii="Arial" w:eastAsiaTheme="majorEastAsia" w:hAnsi="Arial" w:cs="Arial"/>
          <w:noProof/>
          <w:color w:val="365F91" w:themeColor="accent1" w:themeShade="BF"/>
          <w:sz w:val="20"/>
          <w:szCs w:val="20"/>
          <w:lang w:eastAsia="fr-FR"/>
        </w:rPr>
        <w:drawing>
          <wp:inline distT="0" distB="0" distL="0" distR="0" wp14:anchorId="67AF0ABB" wp14:editId="413B8B4A">
            <wp:extent cx="4922947" cy="122692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22947" cy="1226926"/>
                    </a:xfrm>
                    <a:prstGeom prst="rect">
                      <a:avLst/>
                    </a:prstGeom>
                  </pic:spPr>
                </pic:pic>
              </a:graphicData>
            </a:graphic>
          </wp:inline>
        </w:drawing>
      </w:r>
    </w:p>
    <w:p w:rsidR="00AF1502" w:rsidRPr="00AF1502" w:rsidRDefault="00AF1502" w:rsidP="00AF1502">
      <w:pPr>
        <w:pStyle w:val="Sansinterligne"/>
        <w:jc w:val="both"/>
        <w:rPr>
          <w:rFonts w:ascii="Arial" w:eastAsiaTheme="majorEastAsia" w:hAnsi="Arial" w:cs="Arial"/>
          <w:color w:val="365F91" w:themeColor="accent1" w:themeShade="BF"/>
          <w:sz w:val="20"/>
          <w:szCs w:val="20"/>
        </w:rPr>
      </w:pPr>
    </w:p>
    <w:p w:rsidR="00AF1502" w:rsidRPr="00AF1502" w:rsidRDefault="00AF1502" w:rsidP="00AF1502">
      <w:pPr>
        <w:pStyle w:val="Sansinterligne"/>
        <w:jc w:val="both"/>
        <w:rPr>
          <w:rFonts w:ascii="Arial" w:eastAsiaTheme="majorEastAsia" w:hAnsi="Arial" w:cs="Arial"/>
          <w:color w:val="365F91" w:themeColor="accent1" w:themeShade="BF"/>
          <w:sz w:val="20"/>
          <w:szCs w:val="20"/>
        </w:rPr>
      </w:pPr>
    </w:p>
    <w:p w:rsidR="00AF1502" w:rsidRPr="00AF1502" w:rsidRDefault="00AF1502" w:rsidP="00AF1502">
      <w:pPr>
        <w:pStyle w:val="Sansinterligne"/>
        <w:numPr>
          <w:ilvl w:val="1"/>
          <w:numId w:val="41"/>
        </w:numPr>
        <w:jc w:val="both"/>
        <w:rPr>
          <w:rFonts w:ascii="Arial" w:eastAsiaTheme="majorEastAsia" w:hAnsi="Arial" w:cs="Arial"/>
          <w:sz w:val="20"/>
          <w:szCs w:val="20"/>
          <w:u w:val="single"/>
        </w:rPr>
      </w:pPr>
      <w:r w:rsidRPr="00AF1502">
        <w:rPr>
          <w:rFonts w:ascii="Arial" w:eastAsiaTheme="majorEastAsia" w:hAnsi="Arial" w:cs="Arial"/>
          <w:sz w:val="20"/>
          <w:szCs w:val="20"/>
          <w:u w:val="single"/>
        </w:rPr>
        <w:t>Traitement des garanties standard (F.66)</w:t>
      </w:r>
    </w:p>
    <w:p w:rsidR="00AF1502" w:rsidRPr="00AF1502" w:rsidRDefault="00AF1502" w:rsidP="00AF1502">
      <w:pPr>
        <w:pStyle w:val="Sansinterligne"/>
        <w:jc w:val="both"/>
        <w:rPr>
          <w:rFonts w:ascii="Arial" w:eastAsiaTheme="majorEastAsia" w:hAnsi="Arial" w:cs="Arial"/>
          <w:color w:val="365F91" w:themeColor="accent1" w:themeShade="BF"/>
          <w:sz w:val="20"/>
          <w:szCs w:val="20"/>
        </w:rPr>
      </w:pPr>
    </w:p>
    <w:p w:rsidR="00AF1502" w:rsidRPr="00AF1502" w:rsidRDefault="00AF1502" w:rsidP="00AF1502">
      <w:pPr>
        <w:pStyle w:val="Sansinterligne"/>
        <w:jc w:val="both"/>
        <w:rPr>
          <w:rFonts w:ascii="Arial" w:eastAsiaTheme="majorEastAsia" w:hAnsi="Arial" w:cs="Arial"/>
          <w:sz w:val="20"/>
          <w:szCs w:val="20"/>
        </w:rPr>
      </w:pPr>
      <w:r w:rsidRPr="00AF1502">
        <w:rPr>
          <w:rFonts w:ascii="Arial" w:eastAsiaTheme="majorEastAsia" w:hAnsi="Arial" w:cs="Arial"/>
          <w:sz w:val="20"/>
          <w:szCs w:val="20"/>
        </w:rPr>
        <w:t>Les montants en F.66 étant très faibles, voire nuls, en base 2014, cette série n’a pas fait l’objet d’une rétropolation.</w:t>
      </w:r>
    </w:p>
    <w:p w:rsidR="00AF1502" w:rsidRPr="00AF1502" w:rsidRDefault="00AF1502" w:rsidP="00AF1502">
      <w:pPr>
        <w:pStyle w:val="Sansinterligne"/>
        <w:jc w:val="both"/>
        <w:rPr>
          <w:rFonts w:ascii="Arial" w:eastAsiaTheme="majorEastAsia" w:hAnsi="Arial" w:cs="Arial"/>
          <w:sz w:val="20"/>
          <w:szCs w:val="20"/>
        </w:rPr>
      </w:pPr>
    </w:p>
    <w:p w:rsidR="00AF1502" w:rsidRPr="00AF1502" w:rsidRDefault="00AF1502" w:rsidP="00AF1502">
      <w:pPr>
        <w:pStyle w:val="Sansinterligne"/>
        <w:jc w:val="both"/>
        <w:rPr>
          <w:rFonts w:ascii="Arial" w:eastAsiaTheme="majorEastAsia" w:hAnsi="Arial" w:cs="Arial"/>
          <w:sz w:val="20"/>
          <w:szCs w:val="20"/>
        </w:rPr>
      </w:pPr>
    </w:p>
    <w:p w:rsidR="00AF1502" w:rsidRPr="00AF1502" w:rsidRDefault="00AF1502" w:rsidP="00AF1502">
      <w:pPr>
        <w:pStyle w:val="Sansinterligne"/>
        <w:numPr>
          <w:ilvl w:val="0"/>
          <w:numId w:val="40"/>
        </w:numPr>
        <w:jc w:val="both"/>
        <w:rPr>
          <w:rFonts w:ascii="Arial" w:eastAsiaTheme="majorEastAsia" w:hAnsi="Arial" w:cs="Arial"/>
          <w:sz w:val="20"/>
          <w:szCs w:val="20"/>
          <w:u w:val="single"/>
        </w:rPr>
      </w:pPr>
      <w:r w:rsidRPr="00AF1502">
        <w:rPr>
          <w:rFonts w:ascii="Arial" w:eastAsiaTheme="majorEastAsia" w:hAnsi="Arial" w:cs="Arial"/>
          <w:sz w:val="20"/>
          <w:szCs w:val="20"/>
          <w:u w:val="single"/>
        </w:rPr>
        <w:t>La jointure sur les secteurs institutionnels entre le SEC 1995 et le SEC 2010</w:t>
      </w:r>
    </w:p>
    <w:p w:rsidR="00AF1502" w:rsidRPr="00AF1502" w:rsidRDefault="00AF1502" w:rsidP="00AF1502">
      <w:pPr>
        <w:pStyle w:val="Sansinterligne"/>
        <w:jc w:val="both"/>
        <w:rPr>
          <w:rFonts w:ascii="Arial" w:eastAsiaTheme="majorEastAsia" w:hAnsi="Arial" w:cs="Arial"/>
          <w:sz w:val="20"/>
          <w:szCs w:val="20"/>
          <w:u w:val="single"/>
        </w:rPr>
      </w:pPr>
    </w:p>
    <w:p w:rsidR="00AF1502" w:rsidRPr="00AF1502" w:rsidRDefault="00AF1502" w:rsidP="00AF1502">
      <w:pPr>
        <w:pStyle w:val="Sansinterligne"/>
        <w:jc w:val="both"/>
        <w:rPr>
          <w:rFonts w:ascii="Arial" w:eastAsiaTheme="majorEastAsia" w:hAnsi="Arial" w:cs="Arial"/>
          <w:sz w:val="20"/>
          <w:szCs w:val="20"/>
          <w:u w:val="single"/>
        </w:rPr>
      </w:pPr>
      <w:r w:rsidRPr="00AF1502">
        <w:rPr>
          <w:rFonts w:ascii="Arial" w:eastAsiaTheme="majorEastAsia" w:hAnsi="Arial" w:cs="Arial"/>
          <w:sz w:val="20"/>
          <w:szCs w:val="20"/>
          <w:u w:val="single"/>
        </w:rPr>
        <w:t>Estimation des séries en S.127</w:t>
      </w:r>
    </w:p>
    <w:p w:rsidR="00AF1502" w:rsidRPr="00AF1502" w:rsidRDefault="00AF1502" w:rsidP="00AF1502">
      <w:pPr>
        <w:pStyle w:val="Sansinterligne"/>
        <w:ind w:firstLine="708"/>
        <w:jc w:val="both"/>
        <w:rPr>
          <w:rFonts w:ascii="Arial" w:eastAsiaTheme="majorEastAsia" w:hAnsi="Arial" w:cs="Arial"/>
          <w:sz w:val="20"/>
          <w:szCs w:val="20"/>
          <w:u w:val="single"/>
        </w:rPr>
      </w:pPr>
    </w:p>
    <w:p w:rsidR="00AF1502" w:rsidRPr="00AF1502" w:rsidRDefault="00AF1502" w:rsidP="00AF1502">
      <w:pPr>
        <w:pStyle w:val="Sansinterligne"/>
        <w:jc w:val="both"/>
        <w:rPr>
          <w:rFonts w:ascii="Arial" w:hAnsi="Arial" w:cs="Arial"/>
          <w:sz w:val="20"/>
          <w:szCs w:val="20"/>
        </w:rPr>
      </w:pPr>
      <w:r w:rsidRPr="00AF1502">
        <w:rPr>
          <w:rFonts w:ascii="Arial" w:hAnsi="Arial" w:cs="Arial"/>
          <w:sz w:val="20"/>
          <w:szCs w:val="20"/>
        </w:rPr>
        <w:t xml:space="preserve">Les séries sur les institutions financières captives et prêteurs non institutionnels (secteur S.127) ne sont pas disponibles dans la base 2000 pour les années 1977-1994. </w:t>
      </w:r>
    </w:p>
    <w:p w:rsidR="00AF1502" w:rsidRPr="00AF1502" w:rsidRDefault="00AF1502" w:rsidP="00AF1502">
      <w:pPr>
        <w:pStyle w:val="Sansinterligne"/>
        <w:jc w:val="both"/>
        <w:rPr>
          <w:rFonts w:ascii="Arial" w:eastAsia="+mn-ea" w:hAnsi="Arial" w:cs="Arial"/>
          <w:kern w:val="24"/>
          <w:sz w:val="20"/>
          <w:szCs w:val="20"/>
          <w:lang w:eastAsia="fr-FR"/>
        </w:rPr>
      </w:pPr>
      <w:r w:rsidRPr="00AF1502">
        <w:rPr>
          <w:rFonts w:ascii="Arial" w:eastAsia="+mn-ea" w:hAnsi="Arial" w:cs="Arial"/>
          <w:kern w:val="24"/>
          <w:sz w:val="20"/>
          <w:szCs w:val="20"/>
          <w:lang w:eastAsia="fr-FR"/>
        </w:rPr>
        <w:t>Seules 13 séries, non nulles en base 2014, sont à rétropoler :</w:t>
      </w:r>
    </w:p>
    <w:p w:rsidR="00AF1502" w:rsidRPr="00AF1502" w:rsidRDefault="00AF1502" w:rsidP="00AF1502">
      <w:pPr>
        <w:pStyle w:val="Sansinterligne"/>
        <w:jc w:val="both"/>
        <w:rPr>
          <w:rFonts w:ascii="Arial" w:eastAsia="+mn-ea" w:hAnsi="Arial" w:cs="Arial"/>
          <w:kern w:val="24"/>
          <w:sz w:val="20"/>
          <w:szCs w:val="20"/>
          <w:lang w:eastAsia="fr-FR"/>
        </w:rPr>
      </w:pPr>
    </w:p>
    <w:p w:rsidR="00AF1502" w:rsidRPr="00AF1502" w:rsidRDefault="00AF1502" w:rsidP="00AF1502">
      <w:pPr>
        <w:pStyle w:val="Sansinterligne"/>
        <w:jc w:val="both"/>
        <w:rPr>
          <w:rFonts w:ascii="Arial" w:eastAsiaTheme="majorEastAsia" w:hAnsi="Arial" w:cs="Arial"/>
          <w:color w:val="365F91" w:themeColor="accent1" w:themeShade="BF"/>
          <w:sz w:val="20"/>
          <w:szCs w:val="20"/>
        </w:rPr>
      </w:pPr>
      <w:r w:rsidRPr="00AF1502">
        <w:rPr>
          <w:rFonts w:ascii="Arial" w:hAnsi="Arial" w:cs="Arial"/>
          <w:noProof/>
          <w:sz w:val="20"/>
          <w:szCs w:val="20"/>
          <w:lang w:eastAsia="fr-FR"/>
        </w:rPr>
        <w:drawing>
          <wp:inline distT="0" distB="0" distL="0" distR="0" wp14:anchorId="245B6A2E" wp14:editId="62052772">
            <wp:extent cx="3699164" cy="2153581"/>
            <wp:effectExtent l="0" t="0" r="0" b="0"/>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25"/>
                    <a:stretch>
                      <a:fillRect/>
                    </a:stretch>
                  </pic:blipFill>
                  <pic:spPr>
                    <a:xfrm>
                      <a:off x="0" y="0"/>
                      <a:ext cx="3720066" cy="2165750"/>
                    </a:xfrm>
                    <a:prstGeom prst="rect">
                      <a:avLst/>
                    </a:prstGeom>
                  </pic:spPr>
                </pic:pic>
              </a:graphicData>
            </a:graphic>
          </wp:inline>
        </w:drawing>
      </w:r>
    </w:p>
    <w:p w:rsidR="00AF1502" w:rsidRPr="00AF1502" w:rsidRDefault="00AF1502" w:rsidP="00AF1502">
      <w:pPr>
        <w:pStyle w:val="Sansinterligne"/>
        <w:jc w:val="both"/>
        <w:rPr>
          <w:rFonts w:ascii="Arial" w:hAnsi="Arial" w:cs="Arial"/>
          <w:sz w:val="20"/>
          <w:szCs w:val="20"/>
        </w:rPr>
      </w:pPr>
    </w:p>
    <w:p w:rsidR="00AF1502" w:rsidRPr="00AF1502" w:rsidRDefault="00AF1502" w:rsidP="00AF1502">
      <w:pPr>
        <w:pStyle w:val="Sansinterligne"/>
        <w:jc w:val="both"/>
        <w:rPr>
          <w:rFonts w:ascii="Arial" w:hAnsi="Arial" w:cs="Arial"/>
          <w:sz w:val="20"/>
          <w:szCs w:val="20"/>
        </w:rPr>
      </w:pPr>
    </w:p>
    <w:p w:rsidR="00AF1502" w:rsidRPr="00AF1502" w:rsidRDefault="00AF1502" w:rsidP="00AF1502">
      <w:pPr>
        <w:pStyle w:val="Sansinterligne"/>
        <w:jc w:val="both"/>
        <w:rPr>
          <w:rFonts w:ascii="Arial" w:hAnsi="Arial" w:cs="Arial"/>
          <w:bCs/>
          <w:sz w:val="20"/>
          <w:szCs w:val="20"/>
        </w:rPr>
      </w:pPr>
      <w:r w:rsidRPr="00AF1502">
        <w:rPr>
          <w:rFonts w:ascii="Arial" w:hAnsi="Arial" w:cs="Arial"/>
          <w:bCs/>
          <w:sz w:val="20"/>
          <w:szCs w:val="20"/>
        </w:rPr>
        <w:t xml:space="preserve">Pour les estimer sur cette période, une méthode simple d’estimation est privilégiée. </w:t>
      </w:r>
    </w:p>
    <w:p w:rsidR="00AF1502" w:rsidRPr="00AF1502" w:rsidRDefault="00AF1502" w:rsidP="00AF1502">
      <w:pPr>
        <w:pStyle w:val="Sansinterligne"/>
        <w:jc w:val="both"/>
        <w:rPr>
          <w:rFonts w:ascii="Arial" w:hAnsi="Arial" w:cs="Arial"/>
          <w:bCs/>
          <w:sz w:val="20"/>
          <w:szCs w:val="20"/>
        </w:rPr>
      </w:pPr>
    </w:p>
    <w:p w:rsidR="00AF1502" w:rsidRPr="00AF1502" w:rsidRDefault="00AF1502" w:rsidP="00AF1502">
      <w:pPr>
        <w:pStyle w:val="Sansinterligne"/>
        <w:jc w:val="both"/>
        <w:rPr>
          <w:rFonts w:ascii="Arial" w:eastAsiaTheme="majorEastAsia" w:hAnsi="Arial" w:cs="Arial"/>
          <w:sz w:val="20"/>
          <w:szCs w:val="20"/>
        </w:rPr>
      </w:pPr>
      <w:r w:rsidRPr="00AF1502">
        <w:rPr>
          <w:rFonts w:ascii="Arial" w:hAnsi="Arial" w:cs="Arial"/>
          <w:bCs/>
          <w:sz w:val="20"/>
          <w:szCs w:val="20"/>
        </w:rPr>
        <w:t xml:space="preserve">Faute d’informations comptables, l’hypothèse faite est identique à celle utilisée lors du passage de la base 2000 à la base 2005. Une première estimation des séries S.127 est réalisée en utilisant les séries S.126 sur la période 1995/2001 avec lesquelles ils existent une forte corrélation. Un coefficient d’estimation du S.127 est alors déduit sur la moyenne de cette période. </w:t>
      </w:r>
      <w:r w:rsidRPr="00AF1502">
        <w:rPr>
          <w:rFonts w:ascii="Arial" w:eastAsiaTheme="majorEastAsia" w:hAnsi="Arial" w:cs="Arial"/>
          <w:sz w:val="20"/>
          <w:szCs w:val="20"/>
        </w:rPr>
        <w:t xml:space="preserve">Le tableau ci-dessous indique les coefficients de corrélation et les coefficients d’estimation retenus : </w:t>
      </w:r>
    </w:p>
    <w:p w:rsidR="00AF1502" w:rsidRPr="00AF1502" w:rsidRDefault="00AF1502" w:rsidP="00AF1502">
      <w:pPr>
        <w:pStyle w:val="Sansinterligne"/>
        <w:jc w:val="both"/>
        <w:rPr>
          <w:rFonts w:ascii="Arial" w:hAnsi="Arial" w:cs="Arial"/>
          <w:bCs/>
          <w:sz w:val="20"/>
          <w:szCs w:val="20"/>
        </w:rPr>
      </w:pPr>
    </w:p>
    <w:p w:rsidR="00AF1502" w:rsidRPr="00AF1502" w:rsidRDefault="00AF1502" w:rsidP="00AF1502">
      <w:pPr>
        <w:pStyle w:val="Sansinterligne"/>
        <w:jc w:val="both"/>
        <w:rPr>
          <w:rFonts w:ascii="Arial" w:hAnsi="Arial" w:cs="Arial"/>
          <w:bCs/>
          <w:sz w:val="20"/>
          <w:szCs w:val="20"/>
        </w:rPr>
      </w:pPr>
      <w:r w:rsidRPr="00AF1502">
        <w:rPr>
          <w:rFonts w:ascii="Arial" w:hAnsi="Arial" w:cs="Arial"/>
          <w:bCs/>
          <w:noProof/>
          <w:sz w:val="20"/>
          <w:szCs w:val="20"/>
          <w:lang w:eastAsia="fr-FR"/>
        </w:rPr>
        <w:drawing>
          <wp:inline distT="0" distB="0" distL="0" distR="0" wp14:anchorId="7AC73E37" wp14:editId="48AAC335">
            <wp:extent cx="3863675" cy="3856054"/>
            <wp:effectExtent l="0" t="0" r="381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63675" cy="3856054"/>
                    </a:xfrm>
                    <a:prstGeom prst="rect">
                      <a:avLst/>
                    </a:prstGeom>
                  </pic:spPr>
                </pic:pic>
              </a:graphicData>
            </a:graphic>
          </wp:inline>
        </w:drawing>
      </w:r>
    </w:p>
    <w:p w:rsidR="00AF1502" w:rsidRPr="00AF1502" w:rsidRDefault="00AF1502" w:rsidP="00AF1502">
      <w:pPr>
        <w:pStyle w:val="Sansinterligne"/>
        <w:jc w:val="both"/>
        <w:rPr>
          <w:rFonts w:ascii="Arial" w:hAnsi="Arial" w:cs="Arial"/>
          <w:bCs/>
          <w:sz w:val="20"/>
          <w:szCs w:val="20"/>
        </w:rPr>
      </w:pPr>
    </w:p>
    <w:p w:rsidR="00AF1502" w:rsidRPr="00AF1502" w:rsidRDefault="00AF1502" w:rsidP="00AF1502">
      <w:pPr>
        <w:pStyle w:val="Sansinterligne"/>
        <w:jc w:val="both"/>
        <w:rPr>
          <w:rFonts w:ascii="Arial" w:hAnsi="Arial" w:cs="Arial"/>
          <w:bCs/>
          <w:sz w:val="20"/>
          <w:szCs w:val="20"/>
        </w:rPr>
      </w:pPr>
      <w:r w:rsidRPr="00AF1502">
        <w:rPr>
          <w:rFonts w:ascii="Arial" w:hAnsi="Arial" w:cs="Arial"/>
          <w:bCs/>
          <w:sz w:val="20"/>
          <w:szCs w:val="20"/>
        </w:rPr>
        <w:t>Dans un deuxième temps, nous faisons l’hypothèse que le montant des séries du S.127 était inclus dans les séries respectives du S.126 et du S.11. Nous avons donc fait le choix de retirer du S.126, 92 % du montant du S.127 estimé et de procéder de la même manière sur le S.11, à hauteur de 8 %.</w:t>
      </w:r>
    </w:p>
    <w:p w:rsidR="00AF1502" w:rsidRPr="00AF1502" w:rsidRDefault="00AF1502" w:rsidP="00AF1502">
      <w:pPr>
        <w:pStyle w:val="Sansinterligne"/>
        <w:jc w:val="both"/>
        <w:rPr>
          <w:rFonts w:ascii="Arial" w:hAnsi="Arial" w:cs="Arial"/>
          <w:bCs/>
          <w:sz w:val="20"/>
          <w:szCs w:val="20"/>
        </w:rPr>
      </w:pPr>
      <w:r w:rsidRPr="00AF1502">
        <w:rPr>
          <w:rFonts w:ascii="Arial" w:hAnsi="Arial" w:cs="Arial"/>
          <w:bCs/>
          <w:sz w:val="20"/>
          <w:szCs w:val="20"/>
        </w:rPr>
        <w:t>Pour respecter les proportions du S127 par rapport au S.126 reprises dans le tableau ci-dessus, on a la relation suivante</w:t>
      </w:r>
    </w:p>
    <w:p w:rsidR="00AF1502" w:rsidRPr="00AF1502" w:rsidRDefault="00D94F51" w:rsidP="00AF1502">
      <w:pPr>
        <w:pStyle w:val="Sansinterligne"/>
        <w:jc w:val="both"/>
        <w:rPr>
          <w:rFonts w:ascii="Arial" w:hAnsi="Arial" w:cs="Arial"/>
          <w:bCs/>
          <w:sz w:val="20"/>
          <w:szCs w:val="20"/>
        </w:rPr>
      </w:pPr>
      <m:oMathPara>
        <m:oMath>
          <m:sSubSup>
            <m:sSubSupPr>
              <m:ctrlPr>
                <w:rPr>
                  <w:rFonts w:ascii="Cambria Math" w:hAnsi="Cambria Math" w:cs="Arial"/>
                  <w:i/>
                  <w:szCs w:val="20"/>
                </w:rPr>
              </m:ctrlPr>
            </m:sSubSupPr>
            <m:e>
              <m:acc>
                <m:accPr>
                  <m:ctrlPr>
                    <w:rPr>
                      <w:rFonts w:ascii="Cambria Math" w:hAnsi="Cambria Math" w:cs="Arial"/>
                      <w:i/>
                      <w:szCs w:val="20"/>
                    </w:rPr>
                  </m:ctrlPr>
                </m:accPr>
                <m:e>
                  <m:r>
                    <w:rPr>
                      <w:rFonts w:ascii="Cambria Math" w:hAnsi="Cambria Math" w:cs="Arial"/>
                      <w:szCs w:val="20"/>
                    </w:rPr>
                    <m:t>S127</m:t>
                  </m:r>
                </m:e>
              </m:acc>
            </m:e>
            <m:sub>
              <m:r>
                <w:rPr>
                  <w:rFonts w:ascii="Cambria Math" w:hAnsi="Cambria Math" w:cs="Arial"/>
                  <w:szCs w:val="20"/>
                </w:rPr>
                <m:t>N, base rétropolée</m:t>
              </m:r>
            </m:sub>
            <m:sup>
              <m:r>
                <w:rPr>
                  <w:rFonts w:ascii="Cambria Math" w:hAnsi="Cambria Math" w:cs="Arial"/>
                  <w:szCs w:val="20"/>
                </w:rPr>
                <m:t>i</m:t>
              </m:r>
            </m:sup>
          </m:sSubSup>
          <m:r>
            <w:rPr>
              <w:rFonts w:ascii="Cambria Math" w:hAnsi="Cambria Math" w:cs="Arial"/>
              <w:szCs w:val="20"/>
            </w:rPr>
            <m:t>=</m:t>
          </m:r>
          <m:sSubSup>
            <m:sSubSupPr>
              <m:ctrlPr>
                <w:rPr>
                  <w:rFonts w:ascii="Cambria Math" w:hAnsi="Cambria Math" w:cs="Arial"/>
                  <w:i/>
                  <w:szCs w:val="20"/>
                </w:rPr>
              </m:ctrlPr>
            </m:sSubSupPr>
            <m:e>
              <m:r>
                <w:rPr>
                  <w:rFonts w:ascii="Cambria Math" w:hAnsi="Cambria Math" w:cs="Arial"/>
                  <w:szCs w:val="20"/>
                </w:rPr>
                <m:t>Coef</m:t>
              </m:r>
              <m:sSub>
                <m:sSubPr>
                  <m:ctrlPr>
                    <w:rPr>
                      <w:rFonts w:ascii="Cambria Math" w:hAnsi="Cambria Math" w:cs="Arial"/>
                      <w:i/>
                      <w:szCs w:val="20"/>
                    </w:rPr>
                  </m:ctrlPr>
                </m:sSubPr>
                <m:e>
                  <m:r>
                    <w:rPr>
                      <w:rFonts w:ascii="Cambria Math" w:hAnsi="Cambria Math" w:cs="Arial"/>
                      <w:szCs w:val="20"/>
                    </w:rPr>
                    <m:t>f</m:t>
                  </m:r>
                </m:e>
                <m:sub>
                  <m:r>
                    <w:rPr>
                      <w:rFonts w:ascii="Cambria Math" w:hAnsi="Cambria Math" w:cs="Arial"/>
                      <w:sz w:val="24"/>
                      <w:szCs w:val="20"/>
                    </w:rPr>
                    <m:t>S127</m:t>
                  </m:r>
                </m:sub>
              </m:sSub>
            </m:e>
            <m:sub>
              <m:r>
                <w:rPr>
                  <w:rFonts w:ascii="Cambria Math" w:hAnsi="Cambria Math" w:cs="Arial"/>
                  <w:szCs w:val="20"/>
                </w:rPr>
                <m:t>N, base 2014</m:t>
              </m:r>
            </m:sub>
            <m:sup>
              <m:r>
                <w:rPr>
                  <w:rFonts w:ascii="Cambria Math" w:hAnsi="Cambria Math" w:cs="Arial"/>
                  <w:szCs w:val="20"/>
                </w:rPr>
                <m:t>i</m:t>
              </m:r>
            </m:sup>
          </m:sSubSup>
          <m:r>
            <w:rPr>
              <w:rFonts w:ascii="Cambria Math" w:hAnsi="Cambria Math" w:cs="Arial"/>
              <w:szCs w:val="20"/>
            </w:rPr>
            <m:t>*</m:t>
          </m:r>
          <m:sSubSup>
            <m:sSubSupPr>
              <m:ctrlPr>
                <w:rPr>
                  <w:rFonts w:ascii="Cambria Math" w:hAnsi="Cambria Math" w:cs="Arial"/>
                  <w:i/>
                  <w:szCs w:val="20"/>
                </w:rPr>
              </m:ctrlPr>
            </m:sSubSupPr>
            <m:e>
              <m:acc>
                <m:accPr>
                  <m:ctrlPr>
                    <w:rPr>
                      <w:rFonts w:ascii="Cambria Math" w:hAnsi="Cambria Math" w:cs="Arial"/>
                      <w:i/>
                      <w:szCs w:val="20"/>
                    </w:rPr>
                  </m:ctrlPr>
                </m:accPr>
                <m:e>
                  <m:r>
                    <w:rPr>
                      <w:rFonts w:ascii="Cambria Math" w:hAnsi="Cambria Math" w:cs="Arial"/>
                      <w:szCs w:val="20"/>
                    </w:rPr>
                    <m:t>S126</m:t>
                  </m:r>
                </m:e>
              </m:acc>
            </m:e>
            <m:sub>
              <m:r>
                <w:rPr>
                  <w:rFonts w:ascii="Cambria Math" w:hAnsi="Cambria Math" w:cs="Arial"/>
                  <w:szCs w:val="20"/>
                </w:rPr>
                <m:t>N, base rétropolée</m:t>
              </m:r>
            </m:sub>
            <m:sup>
              <m:r>
                <w:rPr>
                  <w:rFonts w:ascii="Cambria Math" w:hAnsi="Cambria Math" w:cs="Arial"/>
                  <w:szCs w:val="20"/>
                </w:rPr>
                <m:t>i</m:t>
              </m:r>
            </m:sup>
          </m:sSubSup>
          <m:r>
            <m:rPr>
              <m:sty m:val="p"/>
            </m:rPr>
            <w:rPr>
              <w:rFonts w:ascii="Cambria Math" w:hAnsi="Cambria Math" w:cs="Arial"/>
              <w:szCs w:val="20"/>
            </w:rPr>
            <w:br/>
          </m:r>
        </m:oMath>
        <m:oMath>
          <m:r>
            <w:rPr>
              <w:rFonts w:ascii="Cambria Math" w:hAnsi="Cambria Math" w:cs="Arial"/>
              <w:szCs w:val="20"/>
            </w:rPr>
            <m:t xml:space="preserve">                                        =</m:t>
          </m:r>
          <m:sSubSup>
            <m:sSubSupPr>
              <m:ctrlPr>
                <w:rPr>
                  <w:rFonts w:ascii="Cambria Math" w:hAnsi="Cambria Math" w:cs="Arial"/>
                  <w:i/>
                  <w:szCs w:val="20"/>
                </w:rPr>
              </m:ctrlPr>
            </m:sSubSupPr>
            <m:e>
              <m:r>
                <w:rPr>
                  <w:rFonts w:ascii="Cambria Math" w:hAnsi="Cambria Math" w:cs="Arial"/>
                  <w:szCs w:val="20"/>
                </w:rPr>
                <m:t>Coef</m:t>
              </m:r>
              <m:sSub>
                <m:sSubPr>
                  <m:ctrlPr>
                    <w:rPr>
                      <w:rFonts w:ascii="Cambria Math" w:hAnsi="Cambria Math" w:cs="Arial"/>
                      <w:i/>
                      <w:szCs w:val="20"/>
                    </w:rPr>
                  </m:ctrlPr>
                </m:sSubPr>
                <m:e>
                  <m:r>
                    <w:rPr>
                      <w:rFonts w:ascii="Cambria Math" w:hAnsi="Cambria Math" w:cs="Arial"/>
                      <w:szCs w:val="20"/>
                    </w:rPr>
                    <m:t>f</m:t>
                  </m:r>
                </m:e>
                <m:sub>
                  <m:r>
                    <w:rPr>
                      <w:rFonts w:ascii="Cambria Math" w:hAnsi="Cambria Math" w:cs="Arial"/>
                      <w:szCs w:val="20"/>
                    </w:rPr>
                    <m:t>S127</m:t>
                  </m:r>
                </m:sub>
              </m:sSub>
            </m:e>
            <m:sub>
              <m:r>
                <w:rPr>
                  <w:rFonts w:ascii="Cambria Math" w:hAnsi="Cambria Math" w:cs="Arial"/>
                  <w:szCs w:val="20"/>
                </w:rPr>
                <m:t>N, base 2014</m:t>
              </m:r>
            </m:sub>
            <m:sup>
              <m:r>
                <w:rPr>
                  <w:rFonts w:ascii="Cambria Math" w:hAnsi="Cambria Math" w:cs="Arial"/>
                  <w:szCs w:val="20"/>
                </w:rPr>
                <m:t>i</m:t>
              </m:r>
            </m:sup>
          </m:sSubSup>
          <m:r>
            <w:rPr>
              <w:rFonts w:ascii="Cambria Math" w:eastAsiaTheme="minorEastAsia" w:hAnsi="Cambria Math" w:cs="Arial"/>
              <w:szCs w:val="20"/>
            </w:rPr>
            <m:t>*</m:t>
          </m:r>
          <m:d>
            <m:dPr>
              <m:ctrlPr>
                <w:rPr>
                  <w:rFonts w:ascii="Cambria Math" w:eastAsiaTheme="minorEastAsia" w:hAnsi="Cambria Math" w:cs="Arial"/>
                  <w:bCs/>
                  <w:i/>
                  <w:szCs w:val="20"/>
                </w:rPr>
              </m:ctrlPr>
            </m:dPr>
            <m:e>
              <m:sSubSup>
                <m:sSubSupPr>
                  <m:ctrlPr>
                    <w:rPr>
                      <w:rFonts w:ascii="Cambria Math" w:hAnsi="Cambria Math" w:cs="Arial"/>
                      <w:i/>
                      <w:szCs w:val="20"/>
                    </w:rPr>
                  </m:ctrlPr>
                </m:sSubSupPr>
                <m:e>
                  <m:r>
                    <w:rPr>
                      <w:rFonts w:ascii="Cambria Math" w:hAnsi="Cambria Math" w:cs="Arial"/>
                      <w:szCs w:val="20"/>
                    </w:rPr>
                    <m:t>S126</m:t>
                  </m:r>
                </m:e>
                <m:sub>
                  <m:r>
                    <w:rPr>
                      <w:rFonts w:ascii="Cambria Math" w:hAnsi="Cambria Math" w:cs="Arial"/>
                      <w:szCs w:val="20"/>
                    </w:rPr>
                    <m:t>N, base 2000</m:t>
                  </m:r>
                </m:sub>
                <m:sup>
                  <m:r>
                    <w:rPr>
                      <w:rFonts w:ascii="Cambria Math" w:hAnsi="Cambria Math" w:cs="Arial"/>
                      <w:szCs w:val="20"/>
                    </w:rPr>
                    <m:t>i</m:t>
                  </m:r>
                </m:sup>
              </m:sSubSup>
              <m:r>
                <w:rPr>
                  <w:rFonts w:ascii="Cambria Math" w:hAnsi="Cambria Math" w:cs="Arial"/>
                  <w:szCs w:val="20"/>
                </w:rPr>
                <m:t>-0.92</m:t>
              </m:r>
              <m:r>
                <m:rPr>
                  <m:sty m:val="p"/>
                </m:rPr>
                <w:rPr>
                  <w:rFonts w:ascii="Cambria Math" w:eastAsiaTheme="minorEastAsia" w:hAnsi="Cambria Math" w:cs="Arial"/>
                  <w:szCs w:val="20"/>
                </w:rPr>
                <m:t>*</m:t>
              </m:r>
              <m:sSubSup>
                <m:sSubSupPr>
                  <m:ctrlPr>
                    <w:rPr>
                      <w:rFonts w:ascii="Cambria Math" w:hAnsi="Cambria Math" w:cs="Arial"/>
                      <w:i/>
                      <w:szCs w:val="20"/>
                    </w:rPr>
                  </m:ctrlPr>
                </m:sSubSupPr>
                <m:e>
                  <m:acc>
                    <m:accPr>
                      <m:ctrlPr>
                        <w:rPr>
                          <w:rFonts w:ascii="Cambria Math" w:hAnsi="Cambria Math" w:cs="Arial"/>
                          <w:i/>
                          <w:szCs w:val="20"/>
                        </w:rPr>
                      </m:ctrlPr>
                    </m:accPr>
                    <m:e>
                      <m:r>
                        <w:rPr>
                          <w:rFonts w:ascii="Cambria Math" w:hAnsi="Cambria Math" w:cs="Arial"/>
                          <w:szCs w:val="20"/>
                        </w:rPr>
                        <m:t>S127</m:t>
                      </m:r>
                    </m:e>
                  </m:acc>
                </m:e>
                <m:sub>
                  <m:r>
                    <w:rPr>
                      <w:rFonts w:ascii="Cambria Math" w:hAnsi="Cambria Math" w:cs="Arial"/>
                      <w:szCs w:val="20"/>
                    </w:rPr>
                    <m:t>N, base rétropolée</m:t>
                  </m:r>
                </m:sub>
                <m:sup>
                  <m:r>
                    <w:rPr>
                      <w:rFonts w:ascii="Cambria Math" w:hAnsi="Cambria Math" w:cs="Arial"/>
                      <w:szCs w:val="20"/>
                    </w:rPr>
                    <m:t>i</m:t>
                  </m:r>
                </m:sup>
              </m:sSubSup>
            </m:e>
          </m:d>
          <m:r>
            <w:rPr>
              <w:rFonts w:ascii="Cambria Math" w:eastAsiaTheme="minorEastAsia" w:hAnsi="Cambria Math" w:cs="Arial"/>
              <w:szCs w:val="20"/>
            </w:rPr>
            <m:t xml:space="preserve"> </m:t>
          </m:r>
        </m:oMath>
      </m:oMathPara>
    </w:p>
    <w:p w:rsidR="00AF1502" w:rsidRPr="00AF1502" w:rsidRDefault="00AF1502" w:rsidP="00AF1502">
      <w:pPr>
        <w:pStyle w:val="Sansinterligne"/>
        <w:jc w:val="both"/>
        <w:rPr>
          <w:rFonts w:ascii="Arial" w:hAnsi="Arial" w:cs="Arial"/>
          <w:bCs/>
          <w:sz w:val="20"/>
          <w:szCs w:val="20"/>
        </w:rPr>
      </w:pPr>
    </w:p>
    <w:p w:rsidR="00AF1502" w:rsidRPr="00AF1502" w:rsidRDefault="00AF1502" w:rsidP="00AF1502">
      <w:pPr>
        <w:pStyle w:val="Sansinterligne"/>
        <w:jc w:val="both"/>
        <w:rPr>
          <w:rFonts w:ascii="Arial" w:hAnsi="Arial" w:cs="Arial"/>
          <w:bCs/>
          <w:sz w:val="20"/>
          <w:szCs w:val="20"/>
        </w:rPr>
      </w:pPr>
      <w:r w:rsidRPr="00AF1502">
        <w:rPr>
          <w:rFonts w:ascii="Arial" w:hAnsi="Arial" w:cs="Arial"/>
          <w:bCs/>
          <w:sz w:val="20"/>
          <w:szCs w:val="20"/>
        </w:rPr>
        <w:t>et on en déduit la formule suivante à appliquer pour estimer les séries S.127 :</w:t>
      </w:r>
    </w:p>
    <w:p w:rsidR="00AF1502" w:rsidRPr="00AF1502" w:rsidRDefault="00D94F51" w:rsidP="00AF1502">
      <w:pPr>
        <w:pStyle w:val="Sansinterligne"/>
        <w:ind w:left="720"/>
        <w:jc w:val="both"/>
        <w:rPr>
          <w:rFonts w:ascii="Arial" w:eastAsiaTheme="minorEastAsia" w:hAnsi="Arial" w:cs="Arial"/>
          <w:sz w:val="20"/>
          <w:szCs w:val="20"/>
        </w:rPr>
      </w:pPr>
      <m:oMathPara>
        <m:oMath>
          <m:sSubSup>
            <m:sSubSupPr>
              <m:ctrlPr>
                <w:rPr>
                  <w:rFonts w:ascii="Cambria Math" w:hAnsi="Cambria Math" w:cs="Arial"/>
                  <w:i/>
                  <w:szCs w:val="20"/>
                </w:rPr>
              </m:ctrlPr>
            </m:sSubSupPr>
            <m:e>
              <m:acc>
                <m:accPr>
                  <m:ctrlPr>
                    <w:rPr>
                      <w:rFonts w:ascii="Cambria Math" w:hAnsi="Cambria Math" w:cs="Arial"/>
                      <w:i/>
                      <w:szCs w:val="20"/>
                    </w:rPr>
                  </m:ctrlPr>
                </m:accPr>
                <m:e>
                  <m:r>
                    <w:rPr>
                      <w:rFonts w:ascii="Cambria Math" w:hAnsi="Cambria Math" w:cs="Arial"/>
                      <w:szCs w:val="20"/>
                    </w:rPr>
                    <m:t>S127</m:t>
                  </m:r>
                </m:e>
              </m:acc>
            </m:e>
            <m:sub>
              <m:r>
                <w:rPr>
                  <w:rFonts w:ascii="Cambria Math" w:hAnsi="Cambria Math" w:cs="Arial"/>
                  <w:szCs w:val="20"/>
                </w:rPr>
                <m:t>N, base rétropolée</m:t>
              </m:r>
            </m:sub>
            <m:sup>
              <m:r>
                <w:rPr>
                  <w:rFonts w:ascii="Cambria Math" w:hAnsi="Cambria Math" w:cs="Arial"/>
                  <w:szCs w:val="20"/>
                </w:rPr>
                <m:t>i</m:t>
              </m:r>
            </m:sup>
          </m:sSubSup>
          <m:r>
            <w:rPr>
              <w:rFonts w:ascii="Cambria Math" w:hAnsi="Cambria Math" w:cs="Arial"/>
              <w:szCs w:val="20"/>
            </w:rPr>
            <m:t>=</m:t>
          </m:r>
          <m:sSubSup>
            <m:sSubSupPr>
              <m:ctrlPr>
                <w:rPr>
                  <w:rFonts w:ascii="Cambria Math" w:hAnsi="Cambria Math" w:cs="Arial"/>
                  <w:i/>
                  <w:szCs w:val="20"/>
                </w:rPr>
              </m:ctrlPr>
            </m:sSubSupPr>
            <m:e>
              <m:r>
                <w:rPr>
                  <w:rFonts w:ascii="Cambria Math" w:hAnsi="Cambria Math" w:cs="Arial"/>
                  <w:szCs w:val="20"/>
                </w:rPr>
                <m:t>S126</m:t>
              </m:r>
            </m:e>
            <m:sub>
              <m:r>
                <w:rPr>
                  <w:rFonts w:ascii="Cambria Math" w:hAnsi="Cambria Math" w:cs="Arial"/>
                  <w:szCs w:val="20"/>
                </w:rPr>
                <m:t xml:space="preserve">N, </m:t>
              </m:r>
              <m:r>
                <w:rPr>
                  <w:rFonts w:ascii="Cambria Math" w:hAnsi="Cambria Math" w:cs="Arial"/>
                  <w:sz w:val="24"/>
                  <w:szCs w:val="20"/>
                </w:rPr>
                <m:t>base</m:t>
              </m:r>
              <m:r>
                <w:rPr>
                  <w:rFonts w:ascii="Cambria Math" w:hAnsi="Cambria Math" w:cs="Arial"/>
                  <w:szCs w:val="20"/>
                </w:rPr>
                <m:t xml:space="preserve"> 2000</m:t>
              </m:r>
            </m:sub>
            <m:sup>
              <m:r>
                <w:rPr>
                  <w:rFonts w:ascii="Cambria Math" w:hAnsi="Cambria Math" w:cs="Arial"/>
                  <w:szCs w:val="20"/>
                </w:rPr>
                <m:t>i</m:t>
              </m:r>
            </m:sup>
          </m:sSubSup>
          <m:r>
            <w:rPr>
              <w:rFonts w:ascii="Cambria Math" w:hAnsi="Cambria Math" w:cs="Arial"/>
              <w:szCs w:val="20"/>
            </w:rPr>
            <m:t>*</m:t>
          </m:r>
          <m:f>
            <m:fPr>
              <m:ctrlPr>
                <w:rPr>
                  <w:rFonts w:ascii="Cambria Math" w:hAnsi="Cambria Math" w:cs="Arial"/>
                  <w:i/>
                  <w:szCs w:val="20"/>
                </w:rPr>
              </m:ctrlPr>
            </m:fPr>
            <m:num>
              <m:sSubSup>
                <m:sSubSupPr>
                  <m:ctrlPr>
                    <w:rPr>
                      <w:rFonts w:ascii="Cambria Math" w:hAnsi="Cambria Math" w:cs="Arial"/>
                      <w:i/>
                      <w:szCs w:val="20"/>
                    </w:rPr>
                  </m:ctrlPr>
                </m:sSubSupPr>
                <m:e>
                  <m:r>
                    <w:rPr>
                      <w:rFonts w:ascii="Cambria Math" w:hAnsi="Cambria Math" w:cs="Arial"/>
                      <w:szCs w:val="20"/>
                    </w:rPr>
                    <m:t>Coeff_S127</m:t>
                  </m:r>
                </m:e>
                <m:sub>
                  <m:r>
                    <w:rPr>
                      <w:rFonts w:ascii="Cambria Math" w:hAnsi="Cambria Math" w:cs="Arial"/>
                      <w:szCs w:val="20"/>
                    </w:rPr>
                    <m:t>N, base 2014</m:t>
                  </m:r>
                </m:sub>
                <m:sup>
                  <m:r>
                    <w:rPr>
                      <w:rFonts w:ascii="Cambria Math" w:hAnsi="Cambria Math" w:cs="Arial"/>
                      <w:szCs w:val="20"/>
                    </w:rPr>
                    <m:t>i</m:t>
                  </m:r>
                </m:sup>
              </m:sSubSup>
            </m:num>
            <m:den>
              <m:sSubSup>
                <m:sSubSupPr>
                  <m:ctrlPr>
                    <w:rPr>
                      <w:rFonts w:ascii="Cambria Math" w:hAnsi="Cambria Math" w:cs="Arial"/>
                      <w:i/>
                      <w:szCs w:val="20"/>
                    </w:rPr>
                  </m:ctrlPr>
                </m:sSubSupPr>
                <m:e>
                  <m:r>
                    <w:rPr>
                      <w:rFonts w:ascii="Cambria Math" w:hAnsi="Cambria Math" w:cs="Arial"/>
                      <w:szCs w:val="20"/>
                    </w:rPr>
                    <m:t>Coeff_S127</m:t>
                  </m:r>
                </m:e>
                <m:sub>
                  <m:r>
                    <w:rPr>
                      <w:rFonts w:ascii="Cambria Math" w:hAnsi="Cambria Math" w:cs="Arial"/>
                      <w:szCs w:val="20"/>
                    </w:rPr>
                    <m:t>N, base 2014</m:t>
                  </m:r>
                </m:sub>
                <m:sup>
                  <m:r>
                    <w:rPr>
                      <w:rFonts w:ascii="Cambria Math" w:hAnsi="Cambria Math" w:cs="Arial"/>
                      <w:szCs w:val="20"/>
                    </w:rPr>
                    <m:t>i</m:t>
                  </m:r>
                </m:sup>
              </m:sSubSup>
              <m:r>
                <w:rPr>
                  <w:rFonts w:ascii="Cambria Math" w:hAnsi="Cambria Math" w:cs="Arial"/>
                  <w:szCs w:val="20"/>
                </w:rPr>
                <m:t>*0.92+1</m:t>
              </m:r>
            </m:den>
          </m:f>
        </m:oMath>
      </m:oMathPara>
    </w:p>
    <w:p w:rsidR="00AF1502" w:rsidRPr="00AF1502" w:rsidRDefault="00AF1502" w:rsidP="00AF1502">
      <w:pPr>
        <w:pStyle w:val="Sansinterligne"/>
        <w:jc w:val="both"/>
        <w:rPr>
          <w:rFonts w:ascii="Arial" w:hAnsi="Arial" w:cs="Arial"/>
          <w:bCs/>
          <w:sz w:val="20"/>
          <w:szCs w:val="20"/>
        </w:rPr>
      </w:pPr>
    </w:p>
    <w:p w:rsidR="00AF1502" w:rsidRPr="00AF1502" w:rsidRDefault="00AF1502" w:rsidP="00AF1502">
      <w:pPr>
        <w:pStyle w:val="Sansinterligne"/>
        <w:jc w:val="both"/>
        <w:rPr>
          <w:rFonts w:ascii="Arial" w:hAnsi="Arial" w:cs="Arial"/>
          <w:bCs/>
          <w:sz w:val="20"/>
          <w:szCs w:val="20"/>
        </w:rPr>
      </w:pPr>
      <w:r w:rsidRPr="00AF1502">
        <w:rPr>
          <w:rFonts w:ascii="Arial" w:hAnsi="Arial" w:cs="Arial"/>
          <w:bCs/>
          <w:sz w:val="20"/>
          <w:szCs w:val="20"/>
        </w:rPr>
        <w:t>Suite à cette estimation, les formules suivantes sont appliquées aux séries du S.126 et S.11 pour retirer la part respective du S.127</w:t>
      </w:r>
    </w:p>
    <w:p w:rsidR="00AF1502" w:rsidRPr="00AF1502" w:rsidRDefault="00AF1502" w:rsidP="00AF1502">
      <w:pPr>
        <w:pStyle w:val="Sansinterligne"/>
        <w:jc w:val="both"/>
        <w:rPr>
          <w:rFonts w:ascii="Arial" w:hAnsi="Arial" w:cs="Arial"/>
          <w:bCs/>
          <w:sz w:val="20"/>
          <w:szCs w:val="20"/>
        </w:rPr>
      </w:pPr>
    </w:p>
    <w:p w:rsidR="00AF1502" w:rsidRPr="00AF1502" w:rsidRDefault="00D94F51" w:rsidP="00AF1502">
      <w:pPr>
        <w:pStyle w:val="Sansinterligne"/>
        <w:ind w:left="720"/>
        <w:jc w:val="both"/>
        <w:rPr>
          <w:rFonts w:ascii="Arial" w:eastAsiaTheme="minorEastAsia" w:hAnsi="Arial" w:cs="Arial"/>
          <w:sz w:val="20"/>
          <w:szCs w:val="20"/>
        </w:rPr>
      </w:pPr>
      <m:oMath>
        <m:sSubSup>
          <m:sSubSupPr>
            <m:ctrlPr>
              <w:rPr>
                <w:rFonts w:ascii="Cambria Math" w:hAnsi="Cambria Math" w:cs="Arial"/>
                <w:i/>
                <w:szCs w:val="20"/>
              </w:rPr>
            </m:ctrlPr>
          </m:sSubSupPr>
          <m:e>
            <m:acc>
              <m:accPr>
                <m:ctrlPr>
                  <w:rPr>
                    <w:rFonts w:ascii="Cambria Math" w:hAnsi="Cambria Math" w:cs="Arial"/>
                    <w:i/>
                    <w:szCs w:val="20"/>
                  </w:rPr>
                </m:ctrlPr>
              </m:accPr>
              <m:e>
                <m:r>
                  <w:rPr>
                    <w:rFonts w:ascii="Cambria Math" w:hAnsi="Cambria Math" w:cs="Arial"/>
                    <w:szCs w:val="20"/>
                  </w:rPr>
                  <m:t>S126</m:t>
                </m:r>
              </m:e>
            </m:acc>
          </m:e>
          <m:sub>
            <m:r>
              <w:rPr>
                <w:rFonts w:ascii="Cambria Math" w:hAnsi="Cambria Math" w:cs="Arial"/>
                <w:szCs w:val="20"/>
              </w:rPr>
              <m:t>N, base rétropolée</m:t>
            </m:r>
          </m:sub>
          <m:sup>
            <m:r>
              <w:rPr>
                <w:rFonts w:ascii="Cambria Math" w:hAnsi="Cambria Math" w:cs="Arial"/>
                <w:szCs w:val="20"/>
              </w:rPr>
              <m:t>i</m:t>
            </m:r>
          </m:sup>
        </m:sSubSup>
        <m:r>
          <w:rPr>
            <w:rFonts w:ascii="Cambria Math" w:hAnsi="Cambria Math" w:cs="Arial"/>
            <w:szCs w:val="20"/>
          </w:rPr>
          <m:t>=</m:t>
        </m:r>
        <m:sSubSup>
          <m:sSubSupPr>
            <m:ctrlPr>
              <w:rPr>
                <w:rFonts w:ascii="Cambria Math" w:hAnsi="Cambria Math" w:cs="Arial"/>
                <w:i/>
                <w:szCs w:val="20"/>
              </w:rPr>
            </m:ctrlPr>
          </m:sSubSupPr>
          <m:e>
            <m:r>
              <w:rPr>
                <w:rFonts w:ascii="Cambria Math" w:hAnsi="Cambria Math" w:cs="Arial"/>
                <w:szCs w:val="20"/>
              </w:rPr>
              <m:t>S126</m:t>
            </m:r>
          </m:e>
          <m:sub>
            <m:r>
              <w:rPr>
                <w:rFonts w:ascii="Cambria Math" w:hAnsi="Cambria Math" w:cs="Arial"/>
                <w:szCs w:val="20"/>
              </w:rPr>
              <m:t>N, base 2000</m:t>
            </m:r>
          </m:sub>
          <m:sup>
            <m:r>
              <w:rPr>
                <w:rFonts w:ascii="Cambria Math" w:hAnsi="Cambria Math" w:cs="Arial"/>
                <w:szCs w:val="20"/>
              </w:rPr>
              <m:t>i</m:t>
            </m:r>
          </m:sup>
        </m:sSubSup>
        <m:r>
          <w:rPr>
            <w:rFonts w:ascii="Cambria Math" w:hAnsi="Cambria Math" w:cs="Arial"/>
            <w:szCs w:val="20"/>
          </w:rPr>
          <m:t>-0.92</m:t>
        </m:r>
      </m:oMath>
      <w:r w:rsidR="00AF1502" w:rsidRPr="00AF1502">
        <w:rPr>
          <w:rFonts w:ascii="Arial" w:eastAsiaTheme="minorEastAsia" w:hAnsi="Arial" w:cs="Arial"/>
          <w:sz w:val="20"/>
          <w:szCs w:val="20"/>
        </w:rPr>
        <w:t>*</w:t>
      </w:r>
      <m:oMath>
        <m:sSubSup>
          <m:sSubSupPr>
            <m:ctrlPr>
              <w:rPr>
                <w:rFonts w:ascii="Cambria Math" w:hAnsi="Cambria Math" w:cs="Arial"/>
                <w:i/>
                <w:szCs w:val="20"/>
              </w:rPr>
            </m:ctrlPr>
          </m:sSubSupPr>
          <m:e>
            <m:acc>
              <m:accPr>
                <m:ctrlPr>
                  <w:rPr>
                    <w:rFonts w:ascii="Cambria Math" w:hAnsi="Cambria Math" w:cs="Arial"/>
                    <w:i/>
                    <w:szCs w:val="20"/>
                  </w:rPr>
                </m:ctrlPr>
              </m:accPr>
              <m:e>
                <m:r>
                  <w:rPr>
                    <w:rFonts w:ascii="Cambria Math" w:hAnsi="Cambria Math" w:cs="Arial"/>
                    <w:szCs w:val="20"/>
                  </w:rPr>
                  <m:t>S127</m:t>
                </m:r>
              </m:e>
            </m:acc>
          </m:e>
          <m:sub>
            <m:r>
              <w:rPr>
                <w:rFonts w:ascii="Cambria Math" w:hAnsi="Cambria Math" w:cs="Arial"/>
                <w:szCs w:val="20"/>
              </w:rPr>
              <m:t xml:space="preserve">N, base </m:t>
            </m:r>
            <m:r>
              <w:rPr>
                <w:rFonts w:ascii="Cambria Math" w:hAnsi="Cambria Math" w:cs="Arial"/>
                <w:sz w:val="24"/>
                <w:szCs w:val="20"/>
              </w:rPr>
              <m:t>rétropolée</m:t>
            </m:r>
          </m:sub>
          <m:sup>
            <m:r>
              <w:rPr>
                <w:rFonts w:ascii="Cambria Math" w:hAnsi="Cambria Math" w:cs="Arial"/>
                <w:szCs w:val="20"/>
              </w:rPr>
              <m:t>i</m:t>
            </m:r>
          </m:sup>
        </m:sSubSup>
      </m:oMath>
    </w:p>
    <w:p w:rsidR="00AF1502" w:rsidRPr="00AF1502" w:rsidRDefault="00AF1502" w:rsidP="00AF1502">
      <w:pPr>
        <w:pStyle w:val="Sansinterligne"/>
        <w:ind w:left="720"/>
        <w:jc w:val="both"/>
        <w:rPr>
          <w:rFonts w:ascii="Arial" w:eastAsiaTheme="minorEastAsia" w:hAnsi="Arial" w:cs="Arial"/>
          <w:sz w:val="20"/>
          <w:szCs w:val="20"/>
        </w:rPr>
      </w:pPr>
    </w:p>
    <w:p w:rsidR="00AF1502" w:rsidRPr="00AF1502" w:rsidRDefault="00D94F51" w:rsidP="00AF1502">
      <w:pPr>
        <w:pStyle w:val="Sansinterligne"/>
        <w:ind w:left="720"/>
        <w:jc w:val="both"/>
        <w:rPr>
          <w:rFonts w:ascii="Arial" w:eastAsiaTheme="minorEastAsia" w:hAnsi="Arial" w:cs="Arial"/>
          <w:sz w:val="20"/>
          <w:szCs w:val="20"/>
        </w:rPr>
      </w:pPr>
      <m:oMathPara>
        <m:oMath>
          <m:sSubSup>
            <m:sSubSupPr>
              <m:ctrlPr>
                <w:rPr>
                  <w:rFonts w:ascii="Cambria Math" w:hAnsi="Cambria Math" w:cs="Arial"/>
                  <w:i/>
                  <w:szCs w:val="20"/>
                </w:rPr>
              </m:ctrlPr>
            </m:sSubSupPr>
            <m:e>
              <m:acc>
                <m:accPr>
                  <m:ctrlPr>
                    <w:rPr>
                      <w:rFonts w:ascii="Cambria Math" w:hAnsi="Cambria Math" w:cs="Arial"/>
                      <w:i/>
                      <w:szCs w:val="20"/>
                    </w:rPr>
                  </m:ctrlPr>
                </m:accPr>
                <m:e>
                  <m:r>
                    <w:rPr>
                      <w:rFonts w:ascii="Cambria Math" w:hAnsi="Cambria Math" w:cs="Arial"/>
                      <w:szCs w:val="20"/>
                    </w:rPr>
                    <m:t>S11</m:t>
                  </m:r>
                </m:e>
              </m:acc>
            </m:e>
            <m:sub>
              <m:r>
                <w:rPr>
                  <w:rFonts w:ascii="Cambria Math" w:hAnsi="Cambria Math" w:cs="Arial"/>
                  <w:szCs w:val="20"/>
                </w:rPr>
                <m:t>N, base rétropolée</m:t>
              </m:r>
            </m:sub>
            <m:sup>
              <m:r>
                <w:rPr>
                  <w:rFonts w:ascii="Cambria Math" w:hAnsi="Cambria Math" w:cs="Arial"/>
                  <w:szCs w:val="20"/>
                </w:rPr>
                <m:t>i</m:t>
              </m:r>
            </m:sup>
          </m:sSubSup>
          <m:r>
            <w:rPr>
              <w:rFonts w:ascii="Cambria Math" w:hAnsi="Cambria Math" w:cs="Arial"/>
              <w:szCs w:val="20"/>
            </w:rPr>
            <m:t>=</m:t>
          </m:r>
          <m:sSubSup>
            <m:sSubSupPr>
              <m:ctrlPr>
                <w:rPr>
                  <w:rFonts w:ascii="Cambria Math" w:hAnsi="Cambria Math" w:cs="Arial"/>
                  <w:i/>
                  <w:szCs w:val="20"/>
                </w:rPr>
              </m:ctrlPr>
            </m:sSubSupPr>
            <m:e>
              <m:r>
                <w:rPr>
                  <w:rFonts w:ascii="Cambria Math" w:hAnsi="Cambria Math" w:cs="Arial"/>
                  <w:szCs w:val="20"/>
                </w:rPr>
                <m:t>S11</m:t>
              </m:r>
            </m:e>
            <m:sub>
              <m:r>
                <w:rPr>
                  <w:rFonts w:ascii="Cambria Math" w:hAnsi="Cambria Math" w:cs="Arial"/>
                  <w:szCs w:val="20"/>
                </w:rPr>
                <m:t>N, base 2000</m:t>
              </m:r>
            </m:sub>
            <m:sup>
              <m:r>
                <w:rPr>
                  <w:rFonts w:ascii="Cambria Math" w:hAnsi="Cambria Math" w:cs="Arial"/>
                  <w:szCs w:val="20"/>
                </w:rPr>
                <m:t>i</m:t>
              </m:r>
            </m:sup>
          </m:sSubSup>
          <m:r>
            <w:rPr>
              <w:rFonts w:ascii="Cambria Math" w:hAnsi="Cambria Math" w:cs="Arial"/>
              <w:szCs w:val="20"/>
            </w:rPr>
            <m:t>-0.08*</m:t>
          </m:r>
          <m:sSubSup>
            <m:sSubSupPr>
              <m:ctrlPr>
                <w:rPr>
                  <w:rFonts w:ascii="Cambria Math" w:hAnsi="Cambria Math" w:cs="Arial"/>
                  <w:i/>
                  <w:szCs w:val="20"/>
                </w:rPr>
              </m:ctrlPr>
            </m:sSubSupPr>
            <m:e>
              <m:acc>
                <m:accPr>
                  <m:ctrlPr>
                    <w:rPr>
                      <w:rFonts w:ascii="Cambria Math" w:hAnsi="Cambria Math" w:cs="Arial"/>
                      <w:i/>
                      <w:szCs w:val="20"/>
                    </w:rPr>
                  </m:ctrlPr>
                </m:accPr>
                <m:e>
                  <m:r>
                    <w:rPr>
                      <w:rFonts w:ascii="Cambria Math" w:hAnsi="Cambria Math" w:cs="Arial"/>
                      <w:szCs w:val="20"/>
                    </w:rPr>
                    <m:t>S127</m:t>
                  </m:r>
                </m:e>
              </m:acc>
            </m:e>
            <m:sub>
              <m:r>
                <w:rPr>
                  <w:rFonts w:ascii="Cambria Math" w:hAnsi="Cambria Math" w:cs="Arial"/>
                  <w:szCs w:val="20"/>
                </w:rPr>
                <m:t>N, base rétropolée</m:t>
              </m:r>
            </m:sub>
            <m:sup>
              <m:r>
                <w:rPr>
                  <w:rFonts w:ascii="Cambria Math" w:hAnsi="Cambria Math" w:cs="Arial"/>
                  <w:szCs w:val="20"/>
                </w:rPr>
                <m:t>i</m:t>
              </m:r>
            </m:sup>
          </m:sSubSup>
        </m:oMath>
      </m:oMathPara>
    </w:p>
    <w:p w:rsidR="00AF1502" w:rsidRPr="00AF1502" w:rsidRDefault="00AF1502" w:rsidP="00AF1502">
      <w:pPr>
        <w:pStyle w:val="Sansinterligne"/>
        <w:jc w:val="both"/>
        <w:rPr>
          <w:rFonts w:ascii="Arial" w:hAnsi="Arial" w:cs="Arial"/>
          <w:bCs/>
          <w:sz w:val="20"/>
          <w:szCs w:val="20"/>
        </w:rPr>
      </w:pPr>
    </w:p>
    <w:p w:rsidR="00AF1502" w:rsidRPr="00AF1502" w:rsidRDefault="00AF1502" w:rsidP="00AF1502">
      <w:pPr>
        <w:pStyle w:val="Sansinterligne"/>
        <w:jc w:val="both"/>
        <w:rPr>
          <w:rFonts w:ascii="Arial" w:hAnsi="Arial" w:cs="Arial"/>
          <w:bCs/>
          <w:sz w:val="20"/>
          <w:szCs w:val="20"/>
        </w:rPr>
      </w:pPr>
    </w:p>
    <w:p w:rsidR="00AF1502" w:rsidRPr="00AF1502" w:rsidRDefault="00AF1502" w:rsidP="00AF1502">
      <w:pPr>
        <w:pStyle w:val="Sansinterligne"/>
        <w:jc w:val="both"/>
        <w:rPr>
          <w:rFonts w:ascii="Arial" w:hAnsi="Arial" w:cs="Arial"/>
          <w:bCs/>
          <w:sz w:val="20"/>
          <w:szCs w:val="20"/>
        </w:rPr>
      </w:pPr>
    </w:p>
    <w:p w:rsidR="00AF1502" w:rsidRPr="00AF1502" w:rsidRDefault="00AF1502" w:rsidP="00AF1502">
      <w:pPr>
        <w:pStyle w:val="Paragraphedeliste"/>
        <w:numPr>
          <w:ilvl w:val="0"/>
          <w:numId w:val="40"/>
        </w:numPr>
        <w:spacing w:after="160" w:line="259" w:lineRule="auto"/>
        <w:jc w:val="both"/>
        <w:rPr>
          <w:rFonts w:ascii="Arial" w:hAnsi="Arial" w:cs="Arial"/>
        </w:rPr>
      </w:pPr>
      <w:r w:rsidRPr="00AF1502">
        <w:rPr>
          <w:rFonts w:ascii="Arial" w:hAnsi="Arial" w:cs="Arial"/>
        </w:rPr>
        <w:t>Autres cas particuliers</w:t>
      </w:r>
    </w:p>
    <w:p w:rsidR="00AF1502" w:rsidRPr="00AF1502" w:rsidRDefault="00AF1502" w:rsidP="00AF1502">
      <w:pPr>
        <w:pStyle w:val="Paragraphedeliste"/>
        <w:numPr>
          <w:ilvl w:val="1"/>
          <w:numId w:val="40"/>
        </w:numPr>
        <w:spacing w:after="160" w:line="259" w:lineRule="auto"/>
        <w:jc w:val="both"/>
        <w:rPr>
          <w:rFonts w:ascii="Arial" w:hAnsi="Arial" w:cs="Arial"/>
        </w:rPr>
      </w:pPr>
      <w:r w:rsidRPr="00AF1502">
        <w:rPr>
          <w:rFonts w:ascii="Arial" w:hAnsi="Arial" w:cs="Arial"/>
        </w:rPr>
        <w:t>Modification d’une série</w:t>
      </w:r>
    </w:p>
    <w:p w:rsidR="00AF1502" w:rsidRPr="00AF1502" w:rsidRDefault="00AF1502" w:rsidP="00AF1502">
      <w:pPr>
        <w:jc w:val="both"/>
        <w:rPr>
          <w:rFonts w:ascii="Arial" w:hAnsi="Arial" w:cs="Arial"/>
        </w:rPr>
      </w:pPr>
      <w:r w:rsidRPr="00AF1502">
        <w:rPr>
          <w:rFonts w:ascii="Arial" w:eastAsiaTheme="majorEastAsia" w:hAnsi="Arial" w:cs="Arial"/>
        </w:rPr>
        <w:t xml:space="preserve">La série </w:t>
      </w:r>
      <w:r w:rsidRPr="00AF1502">
        <w:rPr>
          <w:rFonts w:ascii="Arial" w:hAnsi="Arial" w:cs="Arial"/>
        </w:rPr>
        <w:t>P.W2.131110.2960.EU.W0.100000 (comptes de correspondants) en base 1995 est modifiée en P.W2.131110.2100.EU.W0.100000 (pièces et billets) en base 2014.</w:t>
      </w:r>
    </w:p>
    <w:p w:rsidR="00AF1502" w:rsidRPr="00AF1502" w:rsidRDefault="00AF1502" w:rsidP="00AF1502">
      <w:pPr>
        <w:jc w:val="both"/>
        <w:rPr>
          <w:rFonts w:ascii="Arial" w:hAnsi="Arial" w:cs="Arial"/>
        </w:rPr>
      </w:pPr>
    </w:p>
    <w:p w:rsidR="00AF1502" w:rsidRPr="00AF1502" w:rsidRDefault="00AF1502" w:rsidP="00AF1502">
      <w:pPr>
        <w:pStyle w:val="Paragraphedeliste"/>
        <w:numPr>
          <w:ilvl w:val="1"/>
          <w:numId w:val="40"/>
        </w:numPr>
        <w:spacing w:after="160" w:line="259" w:lineRule="auto"/>
        <w:jc w:val="both"/>
        <w:rPr>
          <w:rFonts w:ascii="Arial" w:hAnsi="Arial" w:cs="Arial"/>
        </w:rPr>
      </w:pPr>
      <w:r w:rsidRPr="00AF1502">
        <w:rPr>
          <w:rFonts w:ascii="Arial" w:hAnsi="Arial" w:cs="Arial"/>
        </w:rPr>
        <w:t>Réflexion de séries</w:t>
      </w:r>
    </w:p>
    <w:p w:rsidR="00AF1502" w:rsidRPr="00AF1502" w:rsidRDefault="00AF1502" w:rsidP="00AF1502">
      <w:pPr>
        <w:pStyle w:val="Sansinterligne"/>
        <w:jc w:val="both"/>
        <w:rPr>
          <w:rFonts w:ascii="Arial" w:hAnsi="Arial" w:cs="Arial"/>
          <w:bCs/>
          <w:sz w:val="20"/>
          <w:szCs w:val="20"/>
        </w:rPr>
      </w:pPr>
      <w:r w:rsidRPr="00AF1502">
        <w:rPr>
          <w:rFonts w:ascii="Arial" w:eastAsiaTheme="majorEastAsia" w:hAnsi="Arial" w:cs="Arial"/>
          <w:sz w:val="20"/>
          <w:szCs w:val="20"/>
        </w:rPr>
        <w:t xml:space="preserve">Les séries ci-dessous ne </w:t>
      </w:r>
      <w:r w:rsidRPr="00AF1502">
        <w:rPr>
          <w:rFonts w:ascii="Arial" w:hAnsi="Arial" w:cs="Arial"/>
          <w:sz w:val="20"/>
          <w:szCs w:val="20"/>
        </w:rPr>
        <w:t xml:space="preserve">sont pas disponibles dans la base 2000 pour les années 1977-1994. </w:t>
      </w:r>
    </w:p>
    <w:p w:rsidR="00AF1502" w:rsidRPr="00AF1502" w:rsidRDefault="00AF1502" w:rsidP="00AF1502">
      <w:pPr>
        <w:pStyle w:val="Sansinterligne"/>
        <w:jc w:val="both"/>
        <w:rPr>
          <w:rFonts w:ascii="Arial" w:hAnsi="Arial" w:cs="Arial"/>
          <w:bCs/>
          <w:sz w:val="20"/>
          <w:szCs w:val="20"/>
        </w:rPr>
      </w:pPr>
    </w:p>
    <w:p w:rsidR="00AF1502" w:rsidRPr="00AF1502" w:rsidRDefault="00AF1502" w:rsidP="00AF1502">
      <w:pPr>
        <w:pStyle w:val="Sansinterligne"/>
        <w:ind w:left="360"/>
        <w:rPr>
          <w:rFonts w:ascii="Arial" w:eastAsiaTheme="majorEastAsia" w:hAnsi="Arial" w:cs="Arial"/>
          <w:color w:val="365F91" w:themeColor="accent1" w:themeShade="BF"/>
          <w:sz w:val="20"/>
          <w:szCs w:val="20"/>
          <w:lang w:val="en-US"/>
        </w:rPr>
      </w:pPr>
      <w:r w:rsidRPr="00AF1502">
        <w:rPr>
          <w:rFonts w:ascii="Arial" w:hAnsi="Arial" w:cs="Arial"/>
          <w:bCs/>
          <w:noProof/>
          <w:sz w:val="20"/>
          <w:szCs w:val="20"/>
          <w:lang w:eastAsia="fr-FR"/>
        </w:rPr>
        <w:lastRenderedPageBreak/>
        <w:drawing>
          <wp:inline distT="0" distB="0" distL="0" distR="0" wp14:anchorId="5A0FB293" wp14:editId="2742A7F1">
            <wp:extent cx="6132171" cy="1004454"/>
            <wp:effectExtent l="0" t="0" r="254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49292" cy="1007258"/>
                    </a:xfrm>
                    <a:prstGeom prst="rect">
                      <a:avLst/>
                    </a:prstGeom>
                  </pic:spPr>
                </pic:pic>
              </a:graphicData>
            </a:graphic>
          </wp:inline>
        </w:drawing>
      </w:r>
    </w:p>
    <w:p w:rsidR="00AF1502" w:rsidRPr="00AF1502" w:rsidRDefault="00AF1502" w:rsidP="00AF1502">
      <w:pPr>
        <w:pStyle w:val="Sansinterligne"/>
        <w:ind w:left="360"/>
        <w:jc w:val="both"/>
        <w:rPr>
          <w:rFonts w:ascii="Arial" w:eastAsiaTheme="majorEastAsia" w:hAnsi="Arial" w:cs="Arial"/>
          <w:sz w:val="20"/>
          <w:szCs w:val="20"/>
        </w:rPr>
      </w:pPr>
    </w:p>
    <w:p w:rsidR="00AF1502" w:rsidRPr="00AF1502" w:rsidRDefault="00AF1502" w:rsidP="00AF1502">
      <w:pPr>
        <w:pStyle w:val="Sansinterligne"/>
        <w:jc w:val="both"/>
        <w:rPr>
          <w:rFonts w:ascii="Arial" w:hAnsi="Arial" w:cs="Arial"/>
          <w:bCs/>
          <w:sz w:val="20"/>
          <w:szCs w:val="20"/>
        </w:rPr>
      </w:pPr>
      <w:r w:rsidRPr="00AF1502">
        <w:rPr>
          <w:rFonts w:ascii="Arial" w:eastAsiaTheme="majorEastAsia" w:hAnsi="Arial" w:cs="Arial"/>
          <w:sz w:val="20"/>
          <w:szCs w:val="20"/>
        </w:rPr>
        <w:t xml:space="preserve">Dans l’illustration ci-dessous, nous cherchons à estimer la série en marge </w:t>
      </w:r>
      <w:r w:rsidRPr="00AF1502">
        <w:rPr>
          <w:rFonts w:ascii="Arial" w:hAnsi="Arial" w:cs="Arial"/>
          <w:bCs/>
          <w:color w:val="FFFFFF" w:themeColor="background1"/>
          <w:sz w:val="20"/>
          <w:szCs w:val="20"/>
          <w:highlight w:val="blue"/>
        </w:rPr>
        <w:t>A.W1.110000.4100.DV.W0.100000</w:t>
      </w:r>
      <w:r w:rsidRPr="00AF1502">
        <w:rPr>
          <w:rFonts w:ascii="Arial" w:hAnsi="Arial" w:cs="Arial"/>
          <w:bCs/>
          <w:color w:val="FFFFFF" w:themeColor="background1"/>
          <w:sz w:val="20"/>
          <w:szCs w:val="20"/>
        </w:rPr>
        <w:t xml:space="preserve"> </w:t>
      </w:r>
      <w:r w:rsidRPr="00AF1502">
        <w:rPr>
          <w:rFonts w:ascii="Arial" w:hAnsi="Arial" w:cs="Arial"/>
          <w:bCs/>
          <w:sz w:val="20"/>
          <w:szCs w:val="20"/>
        </w:rPr>
        <w:t>(Actif en devises des sociétés non financières non résidentes vis à vis de toutes contreparties) en base 2000.</w:t>
      </w:r>
    </w:p>
    <w:p w:rsidR="00AF1502" w:rsidRPr="00AF1502" w:rsidRDefault="00AF1502" w:rsidP="00AF1502">
      <w:pPr>
        <w:pStyle w:val="Sansinterligne"/>
        <w:jc w:val="both"/>
        <w:rPr>
          <w:rFonts w:ascii="Arial" w:hAnsi="Arial" w:cs="Arial"/>
          <w:bCs/>
          <w:color w:val="FFFFFF" w:themeColor="background1"/>
          <w:sz w:val="20"/>
          <w:szCs w:val="20"/>
        </w:rPr>
      </w:pPr>
      <w:r w:rsidRPr="00AF1502">
        <w:rPr>
          <w:rFonts w:ascii="Arial" w:hAnsi="Arial" w:cs="Arial"/>
          <w:bCs/>
          <w:sz w:val="20"/>
          <w:szCs w:val="20"/>
        </w:rPr>
        <w:t xml:space="preserve">En base 2014, nous constatons que cette série en marge est constitué uniquement de la série en « qui à qui » (qaq) suivante </w:t>
      </w:r>
      <w:r w:rsidRPr="00AF1502">
        <w:rPr>
          <w:rFonts w:ascii="Arial" w:hAnsi="Arial" w:cs="Arial"/>
          <w:bCs/>
          <w:sz w:val="20"/>
          <w:szCs w:val="20"/>
          <w:highlight w:val="cyan"/>
        </w:rPr>
        <w:t>A.W1.110000.4100.DV.W2.110000</w:t>
      </w:r>
      <w:r w:rsidRPr="00AF1502">
        <w:rPr>
          <w:rFonts w:ascii="Arial" w:hAnsi="Arial" w:cs="Arial"/>
          <w:bCs/>
          <w:sz w:val="20"/>
          <w:szCs w:val="20"/>
        </w:rPr>
        <w:t xml:space="preserve"> (Actif en devises des sociétés non financières non résidentes vis à vis des sociétés non financières résidentes). À ce stade, aucun élément ne nous permet d’estimer convenablement la série en marge. Pour cela, nous avons observé le comportement de la série en qaq réfléchie : </w:t>
      </w:r>
      <w:r w:rsidRPr="00AF1502">
        <w:rPr>
          <w:rFonts w:ascii="Arial" w:hAnsi="Arial" w:cs="Arial"/>
          <w:bCs/>
          <w:sz w:val="20"/>
          <w:szCs w:val="20"/>
          <w:highlight w:val="green"/>
        </w:rPr>
        <w:t>P.W2.110000.4100.DV.W1.110000</w:t>
      </w:r>
      <w:r w:rsidRPr="00AF1502">
        <w:rPr>
          <w:rFonts w:ascii="Arial" w:hAnsi="Arial" w:cs="Arial"/>
          <w:bCs/>
          <w:sz w:val="20"/>
          <w:szCs w:val="20"/>
        </w:rPr>
        <w:t xml:space="preserve">- (Passif en devises des sociétés non financières résidentes vis à vis des sociétés non financières non résidentes) qui est composante de la série en marge : </w:t>
      </w:r>
      <w:r w:rsidRPr="00AF1502">
        <w:rPr>
          <w:rFonts w:ascii="Arial" w:hAnsi="Arial" w:cs="Arial"/>
          <w:bCs/>
          <w:color w:val="FFFFFF" w:themeColor="background1"/>
          <w:sz w:val="20"/>
          <w:szCs w:val="20"/>
          <w:highlight w:val="darkGreen"/>
        </w:rPr>
        <w:t>P.W2.110000.4100.DV.W1.100000</w:t>
      </w:r>
      <w:r w:rsidRPr="00AF1502">
        <w:rPr>
          <w:rFonts w:ascii="Arial" w:hAnsi="Arial" w:cs="Arial"/>
          <w:bCs/>
          <w:color w:val="FFFFFF" w:themeColor="background1"/>
          <w:sz w:val="20"/>
          <w:szCs w:val="20"/>
        </w:rPr>
        <w:t xml:space="preserve"> </w:t>
      </w:r>
      <w:r w:rsidRPr="00AF1502">
        <w:rPr>
          <w:rFonts w:ascii="Arial" w:hAnsi="Arial" w:cs="Arial"/>
          <w:bCs/>
          <w:sz w:val="20"/>
          <w:szCs w:val="20"/>
        </w:rPr>
        <w:t>(Passif en devises des sociétés non financières résidentes vis à vis du reste du monde).</w:t>
      </w:r>
    </w:p>
    <w:p w:rsidR="00AF1502" w:rsidRPr="00AF1502" w:rsidRDefault="00AF1502" w:rsidP="00AF1502">
      <w:pPr>
        <w:pStyle w:val="Sansinterligne"/>
        <w:jc w:val="both"/>
        <w:rPr>
          <w:rFonts w:ascii="Arial" w:hAnsi="Arial" w:cs="Arial"/>
          <w:bCs/>
          <w:sz w:val="20"/>
          <w:szCs w:val="20"/>
        </w:rPr>
      </w:pPr>
      <w:r w:rsidRPr="00AF1502">
        <w:rPr>
          <w:rFonts w:ascii="Arial" w:hAnsi="Arial" w:cs="Arial"/>
          <w:bCs/>
          <w:sz w:val="20"/>
          <w:szCs w:val="20"/>
        </w:rPr>
        <w:t>Pour cette dernière série, des montants en base 2000 et 2014 sont disponibles et pour le série en qaq réfléchie, un montant en base 2014. Une estimation de la série en qaq réfléchie est alors effectuée en base 2000 selon la formule ci-dessous.</w:t>
      </w:r>
    </w:p>
    <w:p w:rsidR="00AF1502" w:rsidRPr="00AF1502" w:rsidRDefault="00AF1502" w:rsidP="00AF1502">
      <w:pPr>
        <w:pStyle w:val="Sansinterligne"/>
        <w:ind w:left="360"/>
        <w:jc w:val="both"/>
        <w:rPr>
          <w:rFonts w:ascii="Arial" w:eastAsiaTheme="majorEastAsia" w:hAnsi="Arial" w:cs="Arial"/>
          <w:color w:val="365F91" w:themeColor="accent1" w:themeShade="BF"/>
          <w:sz w:val="20"/>
          <w:szCs w:val="20"/>
        </w:rPr>
      </w:pPr>
    </w:p>
    <w:p w:rsidR="00AF1502" w:rsidRPr="00AF1502" w:rsidRDefault="00D94F51" w:rsidP="00AF1502">
      <w:pPr>
        <w:pStyle w:val="Sansinterligne"/>
        <w:ind w:left="360"/>
        <w:jc w:val="both"/>
        <w:rPr>
          <w:rFonts w:ascii="Arial" w:eastAsiaTheme="majorEastAsia" w:hAnsi="Arial" w:cs="Arial"/>
          <w:color w:val="365F91" w:themeColor="accent1" w:themeShade="BF"/>
          <w:sz w:val="20"/>
          <w:szCs w:val="20"/>
        </w:rPr>
      </w:pPr>
      <m:oMathPara>
        <m:oMath>
          <m:sSub>
            <m:sSubPr>
              <m:ctrlPr>
                <w:rPr>
                  <w:rFonts w:ascii="Cambria Math" w:hAnsi="Cambria Math" w:cs="Arial"/>
                  <w:i/>
                  <w:szCs w:val="20"/>
                </w:rPr>
              </m:ctrlPr>
            </m:sSubPr>
            <m:e>
              <m:r>
                <w:rPr>
                  <w:rFonts w:ascii="Cambria Math" w:hAnsi="Cambria Math" w:cs="Arial"/>
                  <w:szCs w:val="20"/>
                </w:rPr>
                <m:t>E</m:t>
              </m:r>
            </m:e>
            <m:sub>
              <m:r>
                <w:rPr>
                  <w:rFonts w:ascii="Cambria Math" w:hAnsi="Cambria Math" w:cs="Arial"/>
                  <w:szCs w:val="20"/>
                </w:rPr>
                <m:t>N-1 Qaq,  base 2000</m:t>
              </m:r>
            </m:sub>
          </m:sSub>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E</m:t>
              </m:r>
            </m:e>
            <m:sub>
              <m:r>
                <w:rPr>
                  <w:rFonts w:ascii="Cambria Math" w:hAnsi="Cambria Math" w:cs="Arial"/>
                  <w:szCs w:val="20"/>
                </w:rPr>
                <m:t>N Qaq,  base 2014</m:t>
              </m:r>
            </m:sub>
          </m:sSub>
          <m:r>
            <w:rPr>
              <w:rFonts w:ascii="Cambria Math" w:hAnsi="Cambria Math" w:cs="Arial"/>
              <w:szCs w:val="20"/>
            </w:rPr>
            <m:t>*</m:t>
          </m:r>
          <m:f>
            <m:fPr>
              <m:ctrlPr>
                <w:rPr>
                  <w:rFonts w:ascii="Cambria Math" w:hAnsi="Cambria Math" w:cs="Arial"/>
                  <w:i/>
                  <w:szCs w:val="20"/>
                </w:rPr>
              </m:ctrlPr>
            </m:fPr>
            <m:num>
              <m:sSub>
                <m:sSubPr>
                  <m:ctrlPr>
                    <w:rPr>
                      <w:rFonts w:ascii="Cambria Math" w:hAnsi="Cambria Math" w:cs="Arial"/>
                      <w:i/>
                      <w:szCs w:val="20"/>
                    </w:rPr>
                  </m:ctrlPr>
                </m:sSubPr>
                <m:e>
                  <m:r>
                    <w:rPr>
                      <w:rFonts w:ascii="Cambria Math" w:hAnsi="Cambria Math" w:cs="Arial"/>
                      <w:szCs w:val="20"/>
                    </w:rPr>
                    <m:t>E</m:t>
                  </m:r>
                </m:e>
                <m:sub>
                  <m:r>
                    <w:rPr>
                      <w:rFonts w:ascii="Cambria Math" w:hAnsi="Cambria Math" w:cs="Arial"/>
                      <w:szCs w:val="20"/>
                    </w:rPr>
                    <m:t>N-1 Marge, base 2000</m:t>
                  </m:r>
                </m:sub>
              </m:sSub>
            </m:num>
            <m:den>
              <m:sSub>
                <m:sSubPr>
                  <m:ctrlPr>
                    <w:rPr>
                      <w:rFonts w:ascii="Cambria Math" w:hAnsi="Cambria Math" w:cs="Arial"/>
                      <w:i/>
                      <w:szCs w:val="20"/>
                    </w:rPr>
                  </m:ctrlPr>
                </m:sSubPr>
                <m:e>
                  <m:r>
                    <w:rPr>
                      <w:rFonts w:ascii="Cambria Math" w:hAnsi="Cambria Math" w:cs="Arial"/>
                      <w:szCs w:val="20"/>
                    </w:rPr>
                    <m:t>E</m:t>
                  </m:r>
                </m:e>
                <m:sub>
                  <m:r>
                    <w:rPr>
                      <w:rFonts w:ascii="Cambria Math" w:hAnsi="Cambria Math" w:cs="Arial"/>
                      <w:szCs w:val="20"/>
                    </w:rPr>
                    <m:t>N Marge,  base 2014</m:t>
                  </m:r>
                </m:sub>
              </m:sSub>
            </m:den>
          </m:f>
        </m:oMath>
      </m:oMathPara>
    </w:p>
    <w:p w:rsidR="00AF1502" w:rsidRPr="00AF1502" w:rsidRDefault="00AF1502" w:rsidP="00AF1502">
      <w:pPr>
        <w:pStyle w:val="Sansinterligne"/>
        <w:ind w:left="360"/>
        <w:jc w:val="both"/>
        <w:rPr>
          <w:rFonts w:ascii="Arial" w:eastAsiaTheme="majorEastAsia" w:hAnsi="Arial" w:cs="Arial"/>
          <w:color w:val="365F91" w:themeColor="accent1" w:themeShade="BF"/>
          <w:sz w:val="20"/>
          <w:szCs w:val="20"/>
        </w:rPr>
      </w:pPr>
    </w:p>
    <w:p w:rsidR="00AF1502" w:rsidRPr="00AF1502" w:rsidRDefault="00AF1502" w:rsidP="00AF1502">
      <w:pPr>
        <w:pStyle w:val="Sansinterligne"/>
        <w:jc w:val="both"/>
        <w:rPr>
          <w:rFonts w:ascii="Arial" w:eastAsiaTheme="majorEastAsia" w:hAnsi="Arial" w:cs="Arial"/>
          <w:color w:val="365F91" w:themeColor="accent1" w:themeShade="BF"/>
          <w:sz w:val="20"/>
          <w:szCs w:val="20"/>
        </w:rPr>
      </w:pPr>
      <w:r w:rsidRPr="00AF1502">
        <w:rPr>
          <w:rFonts w:ascii="Arial" w:hAnsi="Arial" w:cs="Arial"/>
          <w:bCs/>
          <w:sz w:val="20"/>
          <w:szCs w:val="20"/>
        </w:rPr>
        <w:t>Le montant estimé de la série en qaq réfléchie est alors reporté sur la série en qaq initiale et la série en marge peut alors être déduite</w:t>
      </w:r>
      <w:r w:rsidRPr="00AF1502">
        <w:rPr>
          <w:rFonts w:ascii="Arial" w:eastAsiaTheme="majorEastAsia" w:hAnsi="Arial" w:cs="Arial"/>
          <w:color w:val="365F91" w:themeColor="accent1" w:themeShade="BF"/>
          <w:sz w:val="20"/>
          <w:szCs w:val="20"/>
        </w:rPr>
        <w:t>.</w:t>
      </w:r>
    </w:p>
    <w:p w:rsidR="00AF1502" w:rsidRPr="00AF1502" w:rsidRDefault="00AF1502" w:rsidP="00AF1502">
      <w:pPr>
        <w:pStyle w:val="Sansinterligne"/>
        <w:ind w:left="360"/>
        <w:jc w:val="both"/>
        <w:rPr>
          <w:rFonts w:ascii="Arial" w:eastAsiaTheme="majorEastAsia" w:hAnsi="Arial" w:cs="Arial"/>
          <w:color w:val="365F91" w:themeColor="accent1" w:themeShade="BF"/>
          <w:sz w:val="20"/>
          <w:szCs w:val="20"/>
        </w:rPr>
      </w:pPr>
    </w:p>
    <w:p w:rsidR="00AF1502" w:rsidRPr="00AF1502" w:rsidRDefault="00AF1502" w:rsidP="00AF1502">
      <w:pPr>
        <w:pStyle w:val="Sansinterligne"/>
        <w:ind w:left="360"/>
        <w:jc w:val="center"/>
        <w:rPr>
          <w:rFonts w:ascii="Arial" w:eastAsiaTheme="majorEastAsia" w:hAnsi="Arial" w:cs="Arial"/>
          <w:color w:val="365F91" w:themeColor="accent1" w:themeShade="BF"/>
          <w:sz w:val="20"/>
          <w:szCs w:val="20"/>
        </w:rPr>
      </w:pPr>
      <w:r w:rsidRPr="00AF1502">
        <w:rPr>
          <w:rFonts w:ascii="Arial" w:eastAsiaTheme="majorEastAsia" w:hAnsi="Arial" w:cs="Arial"/>
          <w:noProof/>
          <w:color w:val="365F91" w:themeColor="accent1" w:themeShade="BF"/>
          <w:sz w:val="20"/>
          <w:szCs w:val="20"/>
          <w:lang w:eastAsia="fr-FR"/>
        </w:rPr>
        <w:drawing>
          <wp:inline distT="0" distB="0" distL="0" distR="0" wp14:anchorId="433189AA" wp14:editId="5E7B12AD">
            <wp:extent cx="4897581" cy="2855346"/>
            <wp:effectExtent l="0" t="0" r="0" b="254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02798" cy="2858387"/>
                    </a:xfrm>
                    <a:prstGeom prst="rect">
                      <a:avLst/>
                    </a:prstGeom>
                  </pic:spPr>
                </pic:pic>
              </a:graphicData>
            </a:graphic>
          </wp:inline>
        </w:drawing>
      </w:r>
    </w:p>
    <w:p w:rsidR="00AF1502" w:rsidRDefault="00AF1502" w:rsidP="00AF1502">
      <w:pPr>
        <w:pStyle w:val="Sansinterligne"/>
        <w:jc w:val="both"/>
        <w:rPr>
          <w:rFonts w:ascii="Arial" w:eastAsiaTheme="majorEastAsia" w:hAnsi="Arial" w:cs="Arial"/>
          <w:color w:val="365F91" w:themeColor="accent1" w:themeShade="BF"/>
          <w:sz w:val="20"/>
          <w:szCs w:val="20"/>
        </w:rPr>
      </w:pPr>
    </w:p>
    <w:p w:rsidR="007E0B67" w:rsidRDefault="007E0B67" w:rsidP="007E0B67">
      <w:pPr>
        <w:spacing w:after="160" w:line="259" w:lineRule="auto"/>
        <w:jc w:val="both"/>
        <w:rPr>
          <w:rFonts w:ascii="Arial" w:hAnsi="Arial" w:cs="Arial"/>
        </w:rPr>
      </w:pPr>
    </w:p>
    <w:p w:rsidR="00AF1502" w:rsidRPr="001910D5" w:rsidRDefault="007E0B67" w:rsidP="007E0B67">
      <w:pPr>
        <w:spacing w:after="160" w:line="259" w:lineRule="auto"/>
        <w:jc w:val="both"/>
        <w:rPr>
          <w:rFonts w:ascii="Arial" w:hAnsi="Arial" w:cs="Arial"/>
        </w:rPr>
      </w:pPr>
      <w:r>
        <w:rPr>
          <w:rFonts w:ascii="Arial" w:hAnsi="Arial" w:cs="Arial"/>
        </w:rPr>
        <w:t xml:space="preserve">4. </w:t>
      </w:r>
      <w:r w:rsidR="00AF1502" w:rsidRPr="001910D5">
        <w:rPr>
          <w:rFonts w:ascii="Arial" w:hAnsi="Arial" w:cs="Arial"/>
        </w:rPr>
        <w:t>Estimation de certaines séries trimestrielles en base 2000 avant estimation de ces mêmes séries en base 2014</w:t>
      </w:r>
    </w:p>
    <w:p w:rsidR="00AF1502" w:rsidRPr="001910D5" w:rsidRDefault="00AF1502" w:rsidP="001910D5">
      <w:pPr>
        <w:rPr>
          <w:rFonts w:ascii="Arial" w:hAnsi="Arial" w:cs="Arial"/>
        </w:rPr>
      </w:pPr>
      <w:r w:rsidRPr="001910D5">
        <w:rPr>
          <w:rFonts w:ascii="Arial" w:hAnsi="Arial" w:cs="Arial"/>
        </w:rPr>
        <w:t xml:space="preserve">Pour la rétropolation trimestrielle en base 2000, </w:t>
      </w:r>
      <w:r w:rsidR="00BE713B" w:rsidRPr="001910D5">
        <w:rPr>
          <w:rFonts w:ascii="Arial" w:hAnsi="Arial" w:cs="Arial"/>
        </w:rPr>
        <w:t xml:space="preserve">faute de séries suffisamment granulaires en trimestriel, des rétropolations trimestrielles ont été faites à un niveau légèrement plus agrégé puis une désagrégation a eu lieu pour retrouver les séries les plus fines. Ces simplifications concernent :  </w:t>
      </w:r>
      <w:r w:rsidRPr="001910D5">
        <w:rPr>
          <w:rFonts w:ascii="Arial" w:hAnsi="Arial" w:cs="Arial"/>
        </w:rPr>
        <w:t xml:space="preserve">le secteur des ménages (S14) a été rétropolé globalement sans opérer de distinction entre entrepreneurs individuels (S.14A) et particuliers (S.14B), </w:t>
      </w:r>
    </w:p>
    <w:p w:rsidR="00AF1502" w:rsidRPr="001910D5" w:rsidRDefault="00AF1502" w:rsidP="00AF1502">
      <w:pPr>
        <w:ind w:left="360"/>
        <w:jc w:val="both"/>
        <w:rPr>
          <w:rFonts w:ascii="Arial" w:hAnsi="Arial" w:cs="Arial"/>
        </w:rPr>
      </w:pPr>
    </w:p>
    <w:p w:rsidR="00AF1502" w:rsidRPr="001910D5" w:rsidRDefault="00AF1502" w:rsidP="00AF1502">
      <w:pPr>
        <w:numPr>
          <w:ilvl w:val="0"/>
          <w:numId w:val="43"/>
        </w:numPr>
        <w:jc w:val="both"/>
        <w:rPr>
          <w:rFonts w:ascii="Arial" w:hAnsi="Arial" w:cs="Arial"/>
        </w:rPr>
      </w:pPr>
      <w:r w:rsidRPr="001910D5">
        <w:rPr>
          <w:rFonts w:ascii="Arial" w:hAnsi="Arial" w:cs="Arial"/>
        </w:rPr>
        <w:lastRenderedPageBreak/>
        <w:t xml:space="preserve">les OPCVM ont été rétropolés globalement sans tenir compte de la distinction entre OPCVM monétaires (S.122F) et non monétaires (S.123B) </w:t>
      </w:r>
    </w:p>
    <w:p w:rsidR="00AF1502" w:rsidRPr="001910D5" w:rsidRDefault="00AF1502" w:rsidP="00AF1502">
      <w:pPr>
        <w:ind w:left="357"/>
        <w:rPr>
          <w:rFonts w:ascii="Arial" w:hAnsi="Arial" w:cs="Arial"/>
        </w:rPr>
      </w:pPr>
    </w:p>
    <w:p w:rsidR="00AF1502" w:rsidRPr="001910D5" w:rsidRDefault="00AF1502" w:rsidP="00AF1502">
      <w:pPr>
        <w:numPr>
          <w:ilvl w:val="0"/>
          <w:numId w:val="43"/>
        </w:numPr>
        <w:jc w:val="both"/>
        <w:rPr>
          <w:rFonts w:ascii="Arial" w:hAnsi="Arial" w:cs="Arial"/>
        </w:rPr>
      </w:pPr>
      <w:r w:rsidRPr="001910D5">
        <w:rPr>
          <w:rFonts w:ascii="Arial" w:hAnsi="Arial" w:cs="Arial"/>
        </w:rPr>
        <w:t>les rubriques des opérations financières suivantes n’ont pas été ventilées entre euros et devises (F.291, F.292, F.422, F.332)</w:t>
      </w:r>
    </w:p>
    <w:p w:rsidR="00AF1502" w:rsidRPr="001910D5" w:rsidRDefault="00AF1502" w:rsidP="00AF1502">
      <w:pPr>
        <w:ind w:left="357"/>
        <w:rPr>
          <w:rFonts w:ascii="Arial" w:hAnsi="Arial" w:cs="Arial"/>
        </w:rPr>
      </w:pPr>
    </w:p>
    <w:p w:rsidR="00AF1502" w:rsidRPr="001910D5" w:rsidRDefault="00AF1502" w:rsidP="00AF1502">
      <w:pPr>
        <w:numPr>
          <w:ilvl w:val="0"/>
          <w:numId w:val="43"/>
        </w:numPr>
        <w:jc w:val="both"/>
        <w:rPr>
          <w:rFonts w:ascii="Arial" w:hAnsi="Arial" w:cs="Arial"/>
        </w:rPr>
      </w:pPr>
      <w:r w:rsidRPr="001910D5">
        <w:rPr>
          <w:rFonts w:ascii="Arial" w:hAnsi="Arial" w:cs="Arial"/>
        </w:rPr>
        <w:t>les actions cotées et non cotées des sociétés étrangères (F.5112 et F.5122) ont été sommées</w:t>
      </w:r>
    </w:p>
    <w:p w:rsidR="00AF1502" w:rsidRPr="001910D5" w:rsidRDefault="00AF1502" w:rsidP="00AF1502">
      <w:pPr>
        <w:ind w:left="357"/>
        <w:rPr>
          <w:rFonts w:ascii="Arial" w:hAnsi="Arial" w:cs="Arial"/>
        </w:rPr>
      </w:pPr>
    </w:p>
    <w:p w:rsidR="00AF1502" w:rsidRPr="001910D5" w:rsidRDefault="00AF1502" w:rsidP="00AF1502">
      <w:pPr>
        <w:numPr>
          <w:ilvl w:val="0"/>
          <w:numId w:val="43"/>
        </w:numPr>
        <w:jc w:val="both"/>
        <w:rPr>
          <w:rFonts w:ascii="Arial" w:hAnsi="Arial" w:cs="Arial"/>
        </w:rPr>
      </w:pPr>
      <w:r w:rsidRPr="001910D5">
        <w:rPr>
          <w:rFonts w:ascii="Arial" w:hAnsi="Arial" w:cs="Arial"/>
        </w:rPr>
        <w:t>D’autres regroupements ont été effectués entre les prêts entre agents non financiers et les crédits commerciaux à court terme (F.419 et F.711), ceux à long terme (F.429 et F.712), les dépôts transférables et les billets et pièces en euros (F.2101 et F.2201) et ceux en devises (F.2102 et F.2202), et les titres d’OPCVM quel que soit leur nature (F.521, F.522 et F.523)</w:t>
      </w:r>
    </w:p>
    <w:p w:rsidR="00AF1502" w:rsidRPr="001910D5" w:rsidRDefault="00AF1502" w:rsidP="00AF1502">
      <w:pPr>
        <w:ind w:left="357"/>
        <w:rPr>
          <w:rFonts w:ascii="Arial" w:hAnsi="Arial" w:cs="Arial"/>
        </w:rPr>
      </w:pPr>
    </w:p>
    <w:p w:rsidR="00AF1502" w:rsidRPr="001910D5" w:rsidRDefault="00AF1502" w:rsidP="00AF1502">
      <w:pPr>
        <w:numPr>
          <w:ilvl w:val="0"/>
          <w:numId w:val="43"/>
        </w:numPr>
        <w:jc w:val="both"/>
        <w:rPr>
          <w:rFonts w:ascii="Arial" w:hAnsi="Arial" w:cs="Arial"/>
        </w:rPr>
      </w:pPr>
      <w:r w:rsidRPr="001910D5">
        <w:rPr>
          <w:rFonts w:ascii="Arial" w:hAnsi="Arial" w:cs="Arial"/>
        </w:rPr>
        <w:t>enfin, pour les lignes de titres de créance à long terme (F.332) et d’actions et titres d’OPCVM (F.5), les secteurs des ODAC, des APUL et des ASSO n’étaient pas distingués.</w:t>
      </w:r>
    </w:p>
    <w:p w:rsidR="00AF1502" w:rsidRPr="001910D5" w:rsidRDefault="00AF1502" w:rsidP="00AF1502">
      <w:pPr>
        <w:jc w:val="both"/>
        <w:rPr>
          <w:rFonts w:ascii="Arial" w:hAnsi="Arial" w:cs="Arial"/>
        </w:rPr>
      </w:pPr>
    </w:p>
    <w:p w:rsidR="00AF1502" w:rsidRPr="001910D5" w:rsidRDefault="00AF1502" w:rsidP="00AF1502">
      <w:pPr>
        <w:rPr>
          <w:rFonts w:ascii="Arial" w:eastAsiaTheme="minorEastAsia" w:hAnsi="Arial" w:cs="Arial"/>
        </w:rPr>
      </w:pPr>
    </w:p>
    <w:p w:rsidR="00AF1502" w:rsidRPr="001910D5" w:rsidRDefault="00AF1502" w:rsidP="00AF1502">
      <w:pPr>
        <w:rPr>
          <w:rFonts w:ascii="Arial" w:eastAsiaTheme="minorEastAsia" w:hAnsi="Arial" w:cs="Arial"/>
        </w:rPr>
      </w:pPr>
      <w:r w:rsidRPr="001910D5">
        <w:rPr>
          <w:rFonts w:ascii="Arial" w:eastAsiaTheme="minorEastAsia" w:hAnsi="Arial" w:cs="Arial"/>
        </w:rPr>
        <w:t xml:space="preserve">Concernant les séries listées ci-dessus, la formule suivante est appliquée </w:t>
      </w:r>
      <w:r w:rsidRPr="001910D5">
        <w:rPr>
          <w:rFonts w:ascii="Arial" w:hAnsi="Arial" w:cs="Arial"/>
        </w:rPr>
        <w:t>à chaque trimestre T</w:t>
      </w:r>
      <w:r w:rsidRPr="001910D5">
        <w:rPr>
          <w:rFonts w:ascii="Arial" w:hAnsi="Arial" w:cs="Arial"/>
          <w:vertAlign w:val="subscript"/>
        </w:rPr>
        <w:t>p</w:t>
      </w:r>
      <w:r w:rsidRPr="001910D5">
        <w:rPr>
          <w:rFonts w:ascii="Arial" w:hAnsi="Arial" w:cs="Arial"/>
        </w:rPr>
        <w:t xml:space="preserve"> de l’année N pour estimer les séries désagrégées</w:t>
      </w:r>
      <w:r w:rsidRPr="001910D5">
        <w:rPr>
          <w:rFonts w:ascii="Arial" w:eastAsiaTheme="minorEastAsia" w:hAnsi="Arial" w:cs="Arial"/>
        </w:rPr>
        <w:t>:</w:t>
      </w:r>
    </w:p>
    <w:p w:rsidR="00AF1502" w:rsidRPr="001910D5" w:rsidRDefault="00D94F51" w:rsidP="00AF1502">
      <w:pPr>
        <w:pStyle w:val="Sansinterligne"/>
        <w:ind w:left="720"/>
        <w:jc w:val="both"/>
        <w:rPr>
          <w:rFonts w:ascii="Arial" w:eastAsiaTheme="minorEastAsia" w:hAnsi="Arial" w:cs="Arial"/>
          <w:sz w:val="20"/>
          <w:szCs w:val="20"/>
        </w:rPr>
      </w:pPr>
      <m:oMathPara>
        <m:oMath>
          <m:sSubSup>
            <m:sSubSupPr>
              <m:ctrlPr>
                <w:rPr>
                  <w:rFonts w:ascii="Cambria Math" w:hAnsi="Cambria Math" w:cs="Arial"/>
                  <w:i/>
                  <w:sz w:val="20"/>
                  <w:szCs w:val="20"/>
                </w:rPr>
              </m:ctrlPr>
            </m:sSubSupPr>
            <m:e>
              <m:acc>
                <m:accPr>
                  <m:ctrlPr>
                    <w:rPr>
                      <w:rFonts w:ascii="Cambria Math" w:hAnsi="Cambria Math" w:cs="Arial"/>
                      <w:i/>
                      <w:sz w:val="20"/>
                      <w:szCs w:val="20"/>
                    </w:rPr>
                  </m:ctrlPr>
                </m:accPr>
                <m:e>
                  <m:r>
                    <w:rPr>
                      <w:rFonts w:ascii="Cambria Math" w:hAnsi="Cambria Math" w:cs="Arial"/>
                      <w:sz w:val="20"/>
                      <w:szCs w:val="20"/>
                    </w:rPr>
                    <m:t>F</m:t>
                  </m:r>
                </m:e>
              </m:acc>
            </m:e>
            <m:sub>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p</m:t>
                  </m:r>
                </m:sub>
              </m:sSub>
              <m:r>
                <w:rPr>
                  <w:rFonts w:ascii="Cambria Math" w:hAnsi="Cambria Math" w:cs="Arial"/>
                  <w:sz w:val="20"/>
                  <w:szCs w:val="20"/>
                </w:rPr>
                <m:t>,N, base 2000</m:t>
              </m:r>
            </m:sub>
            <m:sup>
              <m:r>
                <w:rPr>
                  <w:rFonts w:ascii="Cambria Math" w:hAnsi="Cambria Math" w:cs="Arial"/>
                  <w:sz w:val="20"/>
                  <w:szCs w:val="20"/>
                </w:rPr>
                <m:t>i</m:t>
              </m:r>
            </m:sup>
          </m:sSubSup>
          <m:r>
            <w:rPr>
              <w:rFonts w:ascii="Cambria Math" w:hAnsi="Cambria Math" w:cs="Arial"/>
              <w:sz w:val="20"/>
              <w:szCs w:val="20"/>
            </w:rPr>
            <m:t>=</m:t>
          </m:r>
          <m:sSubSup>
            <m:sSubSupPr>
              <m:ctrlPr>
                <w:rPr>
                  <w:rFonts w:ascii="Cambria Math" w:hAnsi="Cambria Math" w:cs="Arial"/>
                  <w:i/>
                  <w:sz w:val="20"/>
                  <w:szCs w:val="20"/>
                </w:rPr>
              </m:ctrlPr>
            </m:sSubSupPr>
            <m:e>
              <m:r>
                <w:rPr>
                  <w:rFonts w:ascii="Cambria Math" w:hAnsi="Cambria Math" w:cs="Arial"/>
                  <w:sz w:val="20"/>
                  <w:szCs w:val="20"/>
                </w:rPr>
                <m:t>F</m:t>
              </m:r>
            </m:e>
            <m:sub>
              <m:r>
                <w:rPr>
                  <w:rFonts w:ascii="Cambria Math" w:hAnsi="Cambria Math" w:cs="Arial"/>
                  <w:sz w:val="20"/>
                  <w:szCs w:val="20"/>
                </w:rPr>
                <m:t>N, base 2000</m:t>
              </m:r>
            </m:sub>
            <m:sup>
              <m:r>
                <w:rPr>
                  <w:rFonts w:ascii="Cambria Math" w:hAnsi="Cambria Math" w:cs="Arial"/>
                  <w:sz w:val="20"/>
                  <w:szCs w:val="20"/>
                </w:rPr>
                <m:t>i</m:t>
              </m:r>
            </m:sup>
          </m:sSubSup>
          <m:r>
            <w:rPr>
              <w:rFonts w:ascii="Cambria Math" w:hAnsi="Cambria Math" w:cs="Arial"/>
              <w:sz w:val="20"/>
              <w:szCs w:val="20"/>
            </w:rPr>
            <m:t>*</m:t>
          </m:r>
          <m:f>
            <m:fPr>
              <m:ctrlPr>
                <w:rPr>
                  <w:rFonts w:ascii="Cambria Math" w:hAnsi="Cambria Math" w:cs="Arial"/>
                  <w:i/>
                  <w:sz w:val="20"/>
                  <w:szCs w:val="20"/>
                </w:rPr>
              </m:ctrlPr>
            </m:fPr>
            <m:num>
              <m:sSubSup>
                <m:sSubSupPr>
                  <m:ctrlPr>
                    <w:rPr>
                      <w:rFonts w:ascii="Cambria Math" w:hAnsi="Cambria Math" w:cs="Arial"/>
                      <w:i/>
                      <w:sz w:val="20"/>
                      <w:szCs w:val="20"/>
                    </w:rPr>
                  </m:ctrlPr>
                </m:sSubSupPr>
                <m:e>
                  <m:r>
                    <w:rPr>
                      <w:rFonts w:ascii="Cambria Math" w:hAnsi="Cambria Math" w:cs="Arial"/>
                      <w:sz w:val="20"/>
                      <w:szCs w:val="20"/>
                    </w:rPr>
                    <m:t>F</m:t>
                  </m:r>
                </m:e>
                <m:sub>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p</m:t>
                      </m:r>
                    </m:sub>
                  </m:sSub>
                  <m:r>
                    <w:rPr>
                      <w:rFonts w:ascii="Cambria Math" w:hAnsi="Cambria Math" w:cs="Arial"/>
                      <w:sz w:val="20"/>
                      <w:szCs w:val="20"/>
                    </w:rPr>
                    <m:t>,N, base 2000</m:t>
                  </m:r>
                </m:sub>
                <m:sup>
                  <m:r>
                    <w:rPr>
                      <w:rFonts w:ascii="Cambria Math" w:hAnsi="Cambria Math" w:cs="Arial"/>
                      <w:sz w:val="20"/>
                      <w:szCs w:val="20"/>
                    </w:rPr>
                    <m:t>i</m:t>
                  </m:r>
                </m:sup>
              </m:sSubSup>
            </m:num>
            <m:den>
              <m:nary>
                <m:naryPr>
                  <m:chr m:val="∑"/>
                  <m:limLoc m:val="undOvr"/>
                  <m:subHide m:val="1"/>
                  <m:supHide m:val="1"/>
                  <m:ctrlPr>
                    <w:rPr>
                      <w:rFonts w:ascii="Cambria Math" w:hAnsi="Cambria Math" w:cs="Arial"/>
                      <w:i/>
                      <w:sz w:val="20"/>
                      <w:szCs w:val="20"/>
                    </w:rPr>
                  </m:ctrlPr>
                </m:naryPr>
                <m:sub/>
                <m:sup/>
                <m:e>
                  <m:r>
                    <w:rPr>
                      <w:rFonts w:ascii="Cambria Math" w:hAnsi="Cambria Math" w:cs="Arial"/>
                      <w:sz w:val="20"/>
                      <w:szCs w:val="20"/>
                    </w:rPr>
                    <m:t>les 4 trimestres p(</m:t>
                  </m:r>
                  <m:sSubSup>
                    <m:sSubSupPr>
                      <m:ctrlPr>
                        <w:rPr>
                          <w:rFonts w:ascii="Cambria Math" w:hAnsi="Cambria Math" w:cs="Arial"/>
                          <w:i/>
                          <w:sz w:val="20"/>
                          <w:szCs w:val="20"/>
                        </w:rPr>
                      </m:ctrlPr>
                    </m:sSubSupPr>
                    <m:e>
                      <m:r>
                        <w:rPr>
                          <w:rFonts w:ascii="Cambria Math" w:hAnsi="Cambria Math" w:cs="Arial"/>
                          <w:sz w:val="20"/>
                          <w:szCs w:val="20"/>
                        </w:rPr>
                        <m:t>F</m:t>
                      </m:r>
                    </m:e>
                    <m:sub>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p</m:t>
                          </m:r>
                        </m:sub>
                      </m:sSub>
                      <m:r>
                        <w:rPr>
                          <w:rFonts w:ascii="Cambria Math" w:hAnsi="Cambria Math" w:cs="Arial"/>
                          <w:sz w:val="20"/>
                          <w:szCs w:val="20"/>
                        </w:rPr>
                        <m:t>,N, base 2000</m:t>
                      </m:r>
                    </m:sub>
                    <m:sup>
                      <m:r>
                        <w:rPr>
                          <w:rFonts w:ascii="Cambria Math" w:hAnsi="Cambria Math" w:cs="Arial"/>
                          <w:sz w:val="20"/>
                          <w:szCs w:val="20"/>
                        </w:rPr>
                        <m:t>i</m:t>
                      </m:r>
                    </m:sup>
                  </m:sSubSup>
                  <m:r>
                    <w:rPr>
                      <w:rFonts w:ascii="Cambria Math" w:hAnsi="Cambria Math" w:cs="Arial"/>
                      <w:sz w:val="20"/>
                      <w:szCs w:val="20"/>
                    </w:rPr>
                    <m:t>)</m:t>
                  </m:r>
                </m:e>
              </m:nary>
            </m:den>
          </m:f>
        </m:oMath>
      </m:oMathPara>
    </w:p>
    <w:p w:rsidR="00AF1502" w:rsidRPr="001910D5" w:rsidRDefault="00AF1502" w:rsidP="00AF1502">
      <w:pPr>
        <w:rPr>
          <w:rFonts w:ascii="Arial" w:eastAsiaTheme="minorEastAsia" w:hAnsi="Arial" w:cs="Arial"/>
        </w:rPr>
      </w:pPr>
    </w:p>
    <w:p w:rsidR="00AF1502" w:rsidRPr="00AF1502" w:rsidRDefault="00AF1502" w:rsidP="00AF1502">
      <w:pPr>
        <w:rPr>
          <w:rFonts w:ascii="Arial" w:hAnsi="Arial" w:cs="Arial"/>
          <w:noProof/>
        </w:rPr>
      </w:pPr>
      <w:r w:rsidRPr="001910D5">
        <w:rPr>
          <w:rFonts w:ascii="Arial" w:eastAsiaTheme="minorEastAsia" w:hAnsi="Arial" w:cs="Arial"/>
        </w:rPr>
        <w:t>Exemple :</w:t>
      </w:r>
      <w:r w:rsidRPr="001910D5">
        <w:rPr>
          <w:rFonts w:ascii="Arial" w:hAnsi="Arial" w:cs="Arial"/>
          <w:noProof/>
        </w:rPr>
        <w:t xml:space="preserve"> </w:t>
      </w:r>
      <w:r w:rsidRPr="00AF1502">
        <w:rPr>
          <w:rFonts w:ascii="Arial" w:hAnsi="Arial" w:cs="Arial"/>
          <w:noProof/>
          <w:highlight w:val="yellow"/>
        </w:rPr>
        <w:drawing>
          <wp:inline distT="0" distB="0" distL="0" distR="0" wp14:anchorId="32886179" wp14:editId="351024A4">
            <wp:extent cx="5760720" cy="3750945"/>
            <wp:effectExtent l="0" t="0" r="0"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750945"/>
                    </a:xfrm>
                    <a:prstGeom prst="rect">
                      <a:avLst/>
                    </a:prstGeom>
                  </pic:spPr>
                </pic:pic>
              </a:graphicData>
            </a:graphic>
          </wp:inline>
        </w:drawing>
      </w:r>
    </w:p>
    <w:p w:rsidR="00AF1502" w:rsidRPr="00AF1502" w:rsidRDefault="00AF1502" w:rsidP="00AF1502">
      <w:pPr>
        <w:rPr>
          <w:rFonts w:ascii="Arial" w:hAnsi="Arial" w:cs="Arial"/>
          <w:noProof/>
        </w:rPr>
      </w:pPr>
    </w:p>
    <w:p w:rsidR="00AF1502" w:rsidRPr="00AF1502" w:rsidRDefault="00AF1502" w:rsidP="00AF1502">
      <w:pPr>
        <w:rPr>
          <w:rFonts w:ascii="Arial" w:hAnsi="Arial" w:cs="Arial"/>
        </w:rPr>
      </w:pPr>
    </w:p>
    <w:p w:rsidR="004A500D" w:rsidRDefault="004A500D">
      <w:pPr>
        <w:rPr>
          <w:rFonts w:ascii="Arial" w:hAnsi="Arial" w:cs="Arial"/>
        </w:rPr>
      </w:pPr>
    </w:p>
    <w:p w:rsidR="00794CF8" w:rsidRDefault="00794CF8" w:rsidP="004A500D">
      <w:pPr>
        <w:jc w:val="both"/>
      </w:pPr>
    </w:p>
    <w:sectPr w:rsidR="00794CF8" w:rsidSect="004A500D">
      <w:footerReference w:type="default" r:id="rId30"/>
      <w:footerReference w:type="first" r:id="rId31"/>
      <w:pgSz w:w="11906" w:h="16838" w:code="9"/>
      <w:pgMar w:top="1021" w:right="1304" w:bottom="1276" w:left="1304" w:header="39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7C4E" w:rsidRDefault="006F7C4E">
      <w:r>
        <w:separator/>
      </w:r>
    </w:p>
  </w:endnote>
  <w:endnote w:type="continuationSeparator" w:id="0">
    <w:p w:rsidR="006F7C4E" w:rsidRDefault="006F7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6018" w:type="dxa"/>
      <w:tblInd w:w="70" w:type="dxa"/>
      <w:tblLayout w:type="fixed"/>
      <w:tblCellMar>
        <w:left w:w="70" w:type="dxa"/>
        <w:right w:w="70" w:type="dxa"/>
      </w:tblCellMar>
      <w:tblLook w:val="0000" w:firstRow="0" w:lastRow="0" w:firstColumn="0" w:lastColumn="0" w:noHBand="0" w:noVBand="0"/>
    </w:tblPr>
    <w:tblGrid>
      <w:gridCol w:w="851"/>
      <w:gridCol w:w="4961"/>
      <w:gridCol w:w="567"/>
      <w:gridCol w:w="4678"/>
      <w:gridCol w:w="4961"/>
    </w:tblGrid>
    <w:tr w:rsidR="00105E77" w:rsidRPr="004D2006" w:rsidTr="009E6A21">
      <w:trPr>
        <w:trHeight w:val="566"/>
      </w:trPr>
      <w:tc>
        <w:tcPr>
          <w:tcW w:w="851" w:type="dxa"/>
        </w:tcPr>
        <w:p w:rsidR="00105E77" w:rsidRPr="004642D0" w:rsidRDefault="00105E77" w:rsidP="004F2289">
          <w:pPr>
            <w:pStyle w:val="Pieddepage"/>
            <w:tabs>
              <w:tab w:val="clear" w:pos="4536"/>
              <w:tab w:val="left" w:pos="518"/>
              <w:tab w:val="left" w:pos="804"/>
              <w:tab w:val="right" w:pos="5246"/>
            </w:tabs>
            <w:jc w:val="right"/>
            <w:rPr>
              <w:color w:val="547889"/>
            </w:rPr>
          </w:pPr>
          <w:r>
            <w:rPr>
              <w:noProof/>
              <w:color w:val="547889"/>
            </w:rPr>
            <w:drawing>
              <wp:anchor distT="0" distB="0" distL="114300" distR="114300" simplePos="0" relativeHeight="251652096" behindDoc="1" locked="0" layoutInCell="1" allowOverlap="1" wp14:anchorId="1B940CAC" wp14:editId="19B6E553">
                <wp:simplePos x="0" y="0"/>
                <wp:positionH relativeFrom="column">
                  <wp:posOffset>-48895</wp:posOffset>
                </wp:positionH>
                <wp:positionV relativeFrom="paragraph">
                  <wp:posOffset>-91358</wp:posOffset>
                </wp:positionV>
                <wp:extent cx="1266286" cy="595223"/>
                <wp:effectExtent l="0" t="0" r="0" b="0"/>
                <wp:wrapNone/>
                <wp:docPr id="41" name="Image 11" descr="C:\Documents and Settings\p803357\Bureau\StatInfo\Bib Picto\BIB Pictos png\Logo-BdF-Stat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803357\Bureau\StatInfo\Bib Picto\BIB Pictos png\Logo-BdF-StatInfo.png"/>
                        <pic:cNvPicPr>
                          <a:picLocks noChangeAspect="1" noChangeArrowheads="1"/>
                        </pic:cNvPicPr>
                      </pic:nvPicPr>
                      <pic:blipFill>
                        <a:blip r:embed="rId1"/>
                        <a:srcRect/>
                        <a:stretch>
                          <a:fillRect/>
                        </a:stretch>
                      </pic:blipFill>
                      <pic:spPr bwMode="auto">
                        <a:xfrm>
                          <a:off x="0" y="0"/>
                          <a:ext cx="1266286" cy="595223"/>
                        </a:xfrm>
                        <a:prstGeom prst="rect">
                          <a:avLst/>
                        </a:prstGeom>
                        <a:noFill/>
                        <a:ln w="9525">
                          <a:noFill/>
                          <a:miter lim="800000"/>
                          <a:headEnd/>
                          <a:tailEnd/>
                        </a:ln>
                      </pic:spPr>
                    </pic:pic>
                  </a:graphicData>
                </a:graphic>
              </wp:anchor>
            </w:drawing>
          </w:r>
          <w:r w:rsidRPr="004642D0">
            <w:rPr>
              <w:rStyle w:val="Numrodepage"/>
              <w:color w:val="547889"/>
            </w:rPr>
            <w:tab/>
          </w:r>
          <w:r w:rsidRPr="004642D0">
            <w:rPr>
              <w:rStyle w:val="Numrodepage"/>
              <w:color w:val="547889"/>
            </w:rPr>
            <w:tab/>
          </w:r>
          <w:r>
            <w:rPr>
              <w:rStyle w:val="Numrodepage"/>
              <w:color w:val="547889"/>
            </w:rPr>
            <w:tab/>
          </w:r>
          <w:r w:rsidRPr="004642D0">
            <w:rPr>
              <w:rStyle w:val="Numrodepage"/>
              <w:color w:val="547889"/>
            </w:rPr>
            <w:t xml:space="preserve">- </w:t>
          </w:r>
          <w:r w:rsidRPr="004642D0">
            <w:rPr>
              <w:rStyle w:val="Numrodepage"/>
              <w:color w:val="547889"/>
            </w:rPr>
            <w:fldChar w:fldCharType="begin"/>
          </w:r>
          <w:r w:rsidRPr="004642D0">
            <w:rPr>
              <w:rStyle w:val="Numrodepage"/>
              <w:color w:val="547889"/>
            </w:rPr>
            <w:instrText xml:space="preserve"> PAGE </w:instrText>
          </w:r>
          <w:r w:rsidRPr="004642D0">
            <w:rPr>
              <w:rStyle w:val="Numrodepage"/>
              <w:color w:val="547889"/>
            </w:rPr>
            <w:fldChar w:fldCharType="separate"/>
          </w:r>
          <w:r w:rsidR="00D94F51">
            <w:rPr>
              <w:rStyle w:val="Numrodepage"/>
              <w:noProof/>
              <w:color w:val="547889"/>
            </w:rPr>
            <w:t>1</w:t>
          </w:r>
          <w:r w:rsidRPr="004642D0">
            <w:rPr>
              <w:rStyle w:val="Numrodepage"/>
              <w:color w:val="547889"/>
            </w:rPr>
            <w:fldChar w:fldCharType="end"/>
          </w:r>
          <w:r w:rsidRPr="004642D0">
            <w:rPr>
              <w:rStyle w:val="Numrodepage"/>
              <w:color w:val="547889"/>
            </w:rPr>
            <w:t xml:space="preserve"> -</w:t>
          </w:r>
        </w:p>
      </w:tc>
      <w:tc>
        <w:tcPr>
          <w:tcW w:w="4961" w:type="dxa"/>
        </w:tcPr>
        <w:p w:rsidR="00105E77" w:rsidRPr="004642D0" w:rsidRDefault="00105E77" w:rsidP="004F2289">
          <w:pPr>
            <w:pStyle w:val="Pieddepage"/>
            <w:tabs>
              <w:tab w:val="clear" w:pos="4536"/>
              <w:tab w:val="left" w:pos="518"/>
              <w:tab w:val="left" w:pos="804"/>
              <w:tab w:val="right" w:pos="5246"/>
            </w:tabs>
            <w:jc w:val="right"/>
            <w:rPr>
              <w:color w:val="547889"/>
            </w:rPr>
          </w:pPr>
        </w:p>
      </w:tc>
      <w:tc>
        <w:tcPr>
          <w:tcW w:w="567" w:type="dxa"/>
        </w:tcPr>
        <w:p w:rsidR="00105E77" w:rsidRPr="00FF483A" w:rsidRDefault="00105E77" w:rsidP="008A1F64">
          <w:pPr>
            <w:pStyle w:val="Pieddepage"/>
            <w:tabs>
              <w:tab w:val="clear" w:pos="4536"/>
              <w:tab w:val="left" w:pos="518"/>
              <w:tab w:val="left" w:pos="804"/>
              <w:tab w:val="right" w:pos="5246"/>
            </w:tabs>
            <w:jc w:val="center"/>
            <w:rPr>
              <w:color w:val="2864AA"/>
            </w:rPr>
          </w:pPr>
          <w:r w:rsidRPr="00FF483A">
            <w:rPr>
              <w:rStyle w:val="Numrodepage"/>
              <w:color w:val="2864AA"/>
            </w:rPr>
            <w:t xml:space="preserve">- </w:t>
          </w:r>
          <w:r w:rsidRPr="00FF483A">
            <w:rPr>
              <w:rStyle w:val="Numrodepage"/>
              <w:color w:val="2864AA"/>
            </w:rPr>
            <w:fldChar w:fldCharType="begin"/>
          </w:r>
          <w:r w:rsidRPr="00FF483A">
            <w:rPr>
              <w:rStyle w:val="Numrodepage"/>
              <w:color w:val="2864AA"/>
            </w:rPr>
            <w:instrText xml:space="preserve"> PAGE </w:instrText>
          </w:r>
          <w:r w:rsidRPr="00FF483A">
            <w:rPr>
              <w:rStyle w:val="Numrodepage"/>
              <w:color w:val="2864AA"/>
            </w:rPr>
            <w:fldChar w:fldCharType="separate"/>
          </w:r>
          <w:r w:rsidR="00D94F51">
            <w:rPr>
              <w:rStyle w:val="Numrodepage"/>
              <w:noProof/>
              <w:color w:val="2864AA"/>
            </w:rPr>
            <w:t>1</w:t>
          </w:r>
          <w:r w:rsidRPr="00FF483A">
            <w:rPr>
              <w:rStyle w:val="Numrodepage"/>
              <w:color w:val="2864AA"/>
            </w:rPr>
            <w:fldChar w:fldCharType="end"/>
          </w:r>
          <w:r w:rsidRPr="00FF483A">
            <w:rPr>
              <w:rStyle w:val="Numrodepage"/>
              <w:color w:val="2864AA"/>
            </w:rPr>
            <w:t xml:space="preserve"> -</w:t>
          </w:r>
        </w:p>
      </w:tc>
      <w:tc>
        <w:tcPr>
          <w:tcW w:w="4678" w:type="dxa"/>
        </w:tcPr>
        <w:p w:rsidR="00105E77" w:rsidRPr="004642D0" w:rsidRDefault="00105E77" w:rsidP="000F3D9C">
          <w:pPr>
            <w:pStyle w:val="Pieddepage"/>
            <w:tabs>
              <w:tab w:val="clear" w:pos="4536"/>
              <w:tab w:val="left" w:pos="293"/>
              <w:tab w:val="left" w:pos="806"/>
              <w:tab w:val="left" w:pos="1798"/>
              <w:tab w:val="left" w:pos="2907"/>
            </w:tabs>
            <w:jc w:val="right"/>
            <w:rPr>
              <w:color w:val="547889"/>
            </w:rPr>
          </w:pPr>
        </w:p>
      </w:tc>
      <w:tc>
        <w:tcPr>
          <w:tcW w:w="4961" w:type="dxa"/>
        </w:tcPr>
        <w:p w:rsidR="00105E77" w:rsidRDefault="00105E77" w:rsidP="009E6A21">
          <w:pPr>
            <w:pStyle w:val="Pieddepage"/>
            <w:tabs>
              <w:tab w:val="clear" w:pos="4536"/>
              <w:tab w:val="left" w:pos="4821"/>
              <w:tab w:val="center" w:pos="4891"/>
            </w:tabs>
            <w:ind w:right="-70"/>
            <w:jc w:val="right"/>
            <w:rPr>
              <w:rFonts w:ascii="Arial" w:hAnsi="Arial"/>
              <w:color w:val="547889"/>
              <w:sz w:val="16"/>
              <w:lang w:val="en-US"/>
            </w:rPr>
          </w:pPr>
        </w:p>
        <w:p w:rsidR="00105E77" w:rsidRPr="00973010" w:rsidRDefault="00105E77" w:rsidP="009E6A21">
          <w:pPr>
            <w:pStyle w:val="Pieddepage"/>
            <w:tabs>
              <w:tab w:val="clear" w:pos="4536"/>
              <w:tab w:val="left" w:pos="4821"/>
              <w:tab w:val="center" w:pos="4891"/>
            </w:tabs>
            <w:ind w:right="-70"/>
            <w:jc w:val="right"/>
            <w:rPr>
              <w:rFonts w:ascii="Arial" w:hAnsi="Arial"/>
              <w:color w:val="547889"/>
              <w:sz w:val="16"/>
              <w:lang w:val="en-US"/>
            </w:rPr>
          </w:pPr>
          <w:r w:rsidRPr="00973010">
            <w:rPr>
              <w:rFonts w:ascii="Arial" w:hAnsi="Arial"/>
              <w:color w:val="547889"/>
              <w:sz w:val="16"/>
              <w:lang w:val="en-US"/>
            </w:rPr>
            <w:t>Contact : DGS-DSMF-SESOF</w:t>
          </w:r>
          <w:r>
            <w:rPr>
              <w:rFonts w:ascii="Arial" w:hAnsi="Arial"/>
              <w:color w:val="547889"/>
              <w:sz w:val="16"/>
              <w:lang w:val="en-US"/>
            </w:rPr>
            <w:t xml:space="preserve"> </w:t>
          </w:r>
        </w:p>
        <w:p w:rsidR="00105E77" w:rsidRPr="00973010" w:rsidRDefault="00105E77" w:rsidP="009E6A21">
          <w:pPr>
            <w:pStyle w:val="Pieddepage"/>
            <w:tabs>
              <w:tab w:val="clear" w:pos="4536"/>
              <w:tab w:val="left" w:pos="4891"/>
            </w:tabs>
            <w:ind w:right="-70"/>
            <w:jc w:val="right"/>
            <w:rPr>
              <w:rFonts w:ascii="Arial" w:hAnsi="Arial"/>
              <w:color w:val="547889"/>
              <w:sz w:val="16"/>
              <w:lang w:val="en-US"/>
            </w:rPr>
          </w:pPr>
          <w:r w:rsidRPr="00973010">
            <w:rPr>
              <w:rFonts w:ascii="Arial" w:hAnsi="Arial"/>
              <w:color w:val="547889"/>
              <w:sz w:val="16"/>
              <w:lang w:val="en-US"/>
            </w:rPr>
            <w:t>sesof@banque-france.fr</w:t>
          </w:r>
        </w:p>
      </w:tc>
    </w:tr>
  </w:tbl>
  <w:p w:rsidR="00105E77" w:rsidRPr="00973010" w:rsidRDefault="00105E77" w:rsidP="004642D0">
    <w:pPr>
      <w:pStyle w:val="Pieddepag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6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16"/>
      <w:gridCol w:w="1077"/>
      <w:gridCol w:w="4899"/>
      <w:gridCol w:w="5276"/>
    </w:tblGrid>
    <w:tr w:rsidR="00105E77" w:rsidRPr="004642D0" w:rsidTr="00973010">
      <w:trPr>
        <w:trHeight w:val="281"/>
      </w:trPr>
      <w:tc>
        <w:tcPr>
          <w:tcW w:w="5016" w:type="dxa"/>
        </w:tcPr>
        <w:p w:rsidR="00105E77" w:rsidRPr="004642D0" w:rsidRDefault="00105E77" w:rsidP="00973010">
          <w:pPr>
            <w:pStyle w:val="Pieddepage"/>
            <w:tabs>
              <w:tab w:val="clear" w:pos="4536"/>
              <w:tab w:val="left" w:pos="518"/>
              <w:tab w:val="left" w:pos="804"/>
              <w:tab w:val="right" w:pos="5246"/>
            </w:tabs>
            <w:jc w:val="center"/>
            <w:rPr>
              <w:color w:val="547889"/>
            </w:rPr>
          </w:pPr>
          <w:r w:rsidRPr="009338D4">
            <w:rPr>
              <w:noProof/>
              <w:color w:val="547889"/>
            </w:rPr>
            <w:drawing>
              <wp:anchor distT="0" distB="0" distL="114300" distR="114300" simplePos="0" relativeHeight="251654144" behindDoc="1" locked="0" layoutInCell="1" allowOverlap="1" wp14:anchorId="5DE18417" wp14:editId="2F95521B">
                <wp:simplePos x="0" y="0"/>
                <wp:positionH relativeFrom="column">
                  <wp:posOffset>482600</wp:posOffset>
                </wp:positionH>
                <wp:positionV relativeFrom="paragraph">
                  <wp:posOffset>-86360</wp:posOffset>
                </wp:positionV>
                <wp:extent cx="1080135" cy="508000"/>
                <wp:effectExtent l="19050" t="0" r="5850" b="0"/>
                <wp:wrapNone/>
                <wp:docPr id="42" name="Image 11" descr="C:\Documents and Settings\p803357\Bureau\StatInfo\Bib Picto\BIB Pictos png\Logo-BdF-Stat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803357\Bureau\StatInfo\Bib Picto\BIB Pictos png\Logo-BdF-StatInfo.png"/>
                        <pic:cNvPicPr>
                          <a:picLocks noChangeAspect="1" noChangeArrowheads="1"/>
                        </pic:cNvPicPr>
                      </pic:nvPicPr>
                      <pic:blipFill>
                        <a:blip r:embed="rId1"/>
                        <a:srcRect/>
                        <a:stretch>
                          <a:fillRect/>
                        </a:stretch>
                      </pic:blipFill>
                      <pic:spPr bwMode="auto">
                        <a:xfrm>
                          <a:off x="0" y="0"/>
                          <a:ext cx="1080000" cy="506857"/>
                        </a:xfrm>
                        <a:prstGeom prst="rect">
                          <a:avLst/>
                        </a:prstGeom>
                        <a:noFill/>
                        <a:ln w="9525">
                          <a:noFill/>
                          <a:miter lim="800000"/>
                          <a:headEnd/>
                          <a:tailEnd/>
                        </a:ln>
                      </pic:spPr>
                    </pic:pic>
                  </a:graphicData>
                </a:graphic>
              </wp:anchor>
            </w:drawing>
          </w:r>
        </w:p>
      </w:tc>
      <w:tc>
        <w:tcPr>
          <w:tcW w:w="1077" w:type="dxa"/>
        </w:tcPr>
        <w:p w:rsidR="00105E77" w:rsidRPr="004642D0" w:rsidRDefault="00105E77" w:rsidP="00973010">
          <w:pPr>
            <w:pStyle w:val="Pieddepage"/>
            <w:tabs>
              <w:tab w:val="clear" w:pos="4536"/>
              <w:tab w:val="left" w:pos="1080"/>
              <w:tab w:val="right" w:pos="5246"/>
            </w:tabs>
            <w:jc w:val="center"/>
            <w:rPr>
              <w:color w:val="547889"/>
            </w:rPr>
          </w:pPr>
          <w:r>
            <w:rPr>
              <w:rStyle w:val="Numrodepage"/>
              <w:color w:val="547889"/>
            </w:rPr>
            <w:t>–</w:t>
          </w:r>
          <w:r w:rsidRPr="001C7586">
            <w:rPr>
              <w:rStyle w:val="Numrodepage"/>
              <w:color w:val="547889"/>
            </w:rPr>
            <w:t xml:space="preserve"> </w:t>
          </w:r>
          <w:r w:rsidRPr="001C7586">
            <w:rPr>
              <w:rStyle w:val="Numrodepage"/>
              <w:color w:val="547889"/>
            </w:rPr>
            <w:fldChar w:fldCharType="begin"/>
          </w:r>
          <w:r w:rsidRPr="001C7586">
            <w:rPr>
              <w:rStyle w:val="Numrodepage"/>
              <w:color w:val="547889"/>
            </w:rPr>
            <w:instrText xml:space="preserve"> PAGE </w:instrText>
          </w:r>
          <w:r w:rsidRPr="001C7586">
            <w:rPr>
              <w:rStyle w:val="Numrodepage"/>
              <w:color w:val="547889"/>
            </w:rPr>
            <w:fldChar w:fldCharType="separate"/>
          </w:r>
          <w:r>
            <w:rPr>
              <w:rStyle w:val="Numrodepage"/>
              <w:noProof/>
              <w:color w:val="547889"/>
            </w:rPr>
            <w:t>20</w:t>
          </w:r>
          <w:r w:rsidRPr="001C7586">
            <w:rPr>
              <w:rStyle w:val="Numrodepage"/>
              <w:color w:val="547889"/>
            </w:rPr>
            <w:fldChar w:fldCharType="end"/>
          </w:r>
          <w:r w:rsidRPr="001C7586">
            <w:rPr>
              <w:rStyle w:val="Numrodepage"/>
              <w:color w:val="547889"/>
            </w:rPr>
            <w:t xml:space="preserve"> </w:t>
          </w:r>
          <w:r>
            <w:rPr>
              <w:rStyle w:val="Numrodepage"/>
              <w:color w:val="547889"/>
            </w:rPr>
            <w:t>–</w:t>
          </w:r>
        </w:p>
      </w:tc>
      <w:tc>
        <w:tcPr>
          <w:tcW w:w="4899" w:type="dxa"/>
        </w:tcPr>
        <w:p w:rsidR="00105E77" w:rsidRPr="00E7042B" w:rsidRDefault="00105E77" w:rsidP="00973010">
          <w:pPr>
            <w:pStyle w:val="Pieddepage"/>
            <w:tabs>
              <w:tab w:val="clear" w:pos="4536"/>
              <w:tab w:val="left" w:pos="293"/>
              <w:tab w:val="left" w:pos="806"/>
              <w:tab w:val="left" w:pos="1798"/>
              <w:tab w:val="left" w:pos="2907"/>
            </w:tabs>
            <w:jc w:val="center"/>
            <w:rPr>
              <w:i/>
              <w:color w:val="547889"/>
            </w:rPr>
          </w:pPr>
        </w:p>
      </w:tc>
      <w:tc>
        <w:tcPr>
          <w:tcW w:w="5276" w:type="dxa"/>
        </w:tcPr>
        <w:p w:rsidR="00105E77" w:rsidRPr="004642D0" w:rsidRDefault="00105E77" w:rsidP="00973010">
          <w:pPr>
            <w:pStyle w:val="Pieddepage"/>
            <w:tabs>
              <w:tab w:val="clear" w:pos="4536"/>
              <w:tab w:val="left" w:pos="4041"/>
            </w:tabs>
            <w:ind w:right="922"/>
            <w:jc w:val="center"/>
            <w:rPr>
              <w:rFonts w:ascii="Arial" w:hAnsi="Arial"/>
              <w:color w:val="547889"/>
              <w:sz w:val="16"/>
            </w:rPr>
          </w:pPr>
        </w:p>
      </w:tc>
    </w:tr>
  </w:tbl>
  <w:p w:rsidR="00105E77" w:rsidRDefault="00105E77" w:rsidP="00973010">
    <w:pPr>
      <w:pStyle w:val="Pieddepage"/>
      <w:tabs>
        <w:tab w:val="clear" w:pos="4536"/>
        <w:tab w:val="left" w:pos="806"/>
      </w:tabs>
      <w:ind w:left="5318" w:right="115"/>
      <w:jc w:val="right"/>
      <w:rPr>
        <w:rFonts w:ascii="Arial" w:hAnsi="Arial"/>
        <w:color w:val="4F81BD" w:themeColor="accent1"/>
        <w:sz w:val="16"/>
        <w:lang w:val="en-US"/>
      </w:rPr>
    </w:pPr>
    <w:r w:rsidRPr="00973010">
      <w:rPr>
        <w:rFonts w:ascii="Arial" w:hAnsi="Arial"/>
        <w:color w:val="4F81BD" w:themeColor="accent1"/>
        <w:sz w:val="16"/>
        <w:lang w:val="en-US"/>
      </w:rPr>
      <w:t>Contact : DGS-DSMF-SESOF</w:t>
    </w:r>
    <w:r>
      <w:rPr>
        <w:rFonts w:ascii="Arial" w:hAnsi="Arial"/>
        <w:color w:val="4F81BD" w:themeColor="accent1"/>
        <w:sz w:val="16"/>
        <w:lang w:val="en-US"/>
      </w:rPr>
      <w:t xml:space="preserve"> </w:t>
    </w:r>
  </w:p>
  <w:p w:rsidR="00105E77" w:rsidRPr="00973010" w:rsidRDefault="00105E77" w:rsidP="00973010">
    <w:pPr>
      <w:pStyle w:val="Pieddepage"/>
      <w:tabs>
        <w:tab w:val="clear" w:pos="4536"/>
        <w:tab w:val="left" w:pos="806"/>
      </w:tabs>
      <w:ind w:left="5318" w:right="115"/>
      <w:jc w:val="right"/>
      <w:rPr>
        <w:lang w:val="en-US"/>
      </w:rPr>
    </w:pPr>
    <w:r w:rsidRPr="00973010">
      <w:rPr>
        <w:rFonts w:ascii="Arial" w:hAnsi="Arial"/>
        <w:color w:val="4F81BD" w:themeColor="accent1"/>
        <w:sz w:val="16"/>
        <w:lang w:val="en-US"/>
      </w:rPr>
      <w:t>sesof@banque-france.fr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7C4E" w:rsidRDefault="006F7C4E">
      <w:r>
        <w:separator/>
      </w:r>
    </w:p>
  </w:footnote>
  <w:footnote w:type="continuationSeparator" w:id="0">
    <w:p w:rsidR="006F7C4E" w:rsidRDefault="006F7C4E">
      <w:r>
        <w:continuationSeparator/>
      </w:r>
    </w:p>
  </w:footnote>
  <w:footnote w:id="1">
    <w:p w:rsidR="004D2006" w:rsidRPr="002E6CFD" w:rsidRDefault="004D2006" w:rsidP="004D2006">
      <w:pPr>
        <w:spacing w:before="77"/>
        <w:jc w:val="both"/>
      </w:pPr>
      <w:r>
        <w:rPr>
          <w:rStyle w:val="Appelnotedebasdep"/>
        </w:rPr>
        <w:footnoteRef/>
      </w:r>
      <w:r>
        <w:t xml:space="preserve"> </w:t>
      </w:r>
      <w:hyperlink r:id="rId1" w:anchor="/node/5385721" w:history="1">
        <w:r w:rsidRPr="004D2006">
          <w:rPr>
            <w:color w:val="0000FF"/>
            <w:u w:val="single"/>
          </w:rPr>
          <w:t>Webstat - Le portail statistique de la Banque de France (banque-france.fr)</w:t>
        </w:r>
      </w:hyperlink>
      <w:r w:rsidR="00E57309" w:rsidRPr="00E57309">
        <w:t xml:space="preserve"> </w:t>
      </w:r>
      <w:r w:rsidR="00E57309" w:rsidRPr="00813380">
        <w:t xml:space="preserve">ou directement dans son </w:t>
      </w:r>
      <w:hyperlink r:id="rId2" w:history="1">
        <w:r w:rsidR="00E57309" w:rsidRPr="00813380">
          <w:rPr>
            <w:rStyle w:val="Lienhypertexte"/>
          </w:rPr>
          <w:t>espace téléchargement</w:t>
        </w:r>
      </w:hyperlink>
    </w:p>
    <w:p w:rsidR="004D2006" w:rsidRDefault="004D2006" w:rsidP="004D2006">
      <w:pPr>
        <w:pStyle w:val="Notedebasdepage"/>
      </w:pPr>
    </w:p>
  </w:footnote>
  <w:footnote w:id="2">
    <w:p w:rsidR="00105E77" w:rsidRPr="002E6CFD" w:rsidRDefault="00105E77" w:rsidP="00030A25">
      <w:pPr>
        <w:spacing w:before="77"/>
        <w:jc w:val="both"/>
      </w:pPr>
      <w:r>
        <w:rPr>
          <w:rStyle w:val="Appelnotedebasdep"/>
        </w:rPr>
        <w:footnoteRef/>
      </w:r>
      <w:r>
        <w:t xml:space="preserve"> </w:t>
      </w:r>
      <w:hyperlink r:id="rId3" w:history="1">
        <w:r w:rsidRPr="002E6CFD">
          <w:rPr>
            <w:rFonts w:ascii="Calibri" w:eastAsia="+mn-ea" w:hAnsi="Calibri" w:cs="+mn-cs"/>
            <w:kern w:val="24"/>
            <w:u w:val="single"/>
          </w:rPr>
          <w:t>https://</w:t>
        </w:r>
      </w:hyperlink>
      <w:hyperlink r:id="rId4" w:history="1">
        <w:r w:rsidRPr="002E6CFD">
          <w:rPr>
            <w:rFonts w:ascii="Calibri" w:eastAsia="+mn-ea" w:hAnsi="Calibri" w:cs="+mn-cs"/>
            <w:kern w:val="24"/>
            <w:u w:val="single"/>
          </w:rPr>
          <w:t>www.banque-france.fr/statistiques/epargne-et-comptes-nationaux-financiers/comptes-nationaux-financiers/comptes-financiers-et-comptes-de-patrimoine-financiers/comptes-nationaux-financiers</w:t>
        </w:r>
      </w:hyperlink>
    </w:p>
    <w:p w:rsidR="00105E77" w:rsidRDefault="00105E77" w:rsidP="00030A25">
      <w:pPr>
        <w:pStyle w:val="Notedebasdepage"/>
      </w:pPr>
    </w:p>
  </w:footnote>
  <w:footnote w:id="3">
    <w:p w:rsidR="00105E77" w:rsidRDefault="00105E77" w:rsidP="00AA1C04">
      <w:pPr>
        <w:pStyle w:val="Notedebasdepage"/>
      </w:pPr>
      <w:r>
        <w:rPr>
          <w:rStyle w:val="Appelnotedebasdep"/>
        </w:rPr>
        <w:footnoteRef/>
      </w:r>
      <w:r>
        <w:t xml:space="preserve"> </w:t>
      </w:r>
      <w:hyperlink r:id="rId5" w:history="1">
        <w:r w:rsidRPr="00105E77">
          <w:rPr>
            <w:rStyle w:val="Lienhypertexte"/>
          </w:rPr>
          <w:t>https://www.banque-france.fr/statistiques/credit/endettement-et-titres/taux-dendettement-des-agents-non-financiers-comparaisons-internationales</w:t>
        </w:r>
      </w:hyperlink>
    </w:p>
  </w:footnote>
  <w:footnote w:id="4">
    <w:p w:rsidR="00105E77" w:rsidRDefault="00105E77" w:rsidP="00AA1C04">
      <w:pPr>
        <w:pStyle w:val="Notedebasdepage"/>
      </w:pPr>
      <w:r>
        <w:rPr>
          <w:rStyle w:val="Appelnotedebasdep"/>
        </w:rPr>
        <w:footnoteRef/>
      </w:r>
      <w:r>
        <w:t xml:space="preserve"> </w:t>
      </w:r>
      <w:hyperlink r:id="rId6" w:history="1">
        <w:r w:rsidRPr="001805E5">
          <w:rPr>
            <w:rStyle w:val="Lienhypertexte"/>
          </w:rPr>
          <w:t>https://www.banque-france.fr/sites/default/files/media/2021/03/16/methode_si_endettementanf_maj_2020_v2.pdf</w:t>
        </w:r>
      </w:hyperlink>
      <w:r>
        <w:t xml:space="preserve">, </w:t>
      </w:r>
    </w:p>
  </w:footnote>
  <w:footnote w:id="5">
    <w:p w:rsidR="004D2006" w:rsidRDefault="004D2006">
      <w:pPr>
        <w:pStyle w:val="Notedebasdepage"/>
      </w:pPr>
      <w:r>
        <w:rPr>
          <w:rStyle w:val="Appelnotedebasdep"/>
        </w:rPr>
        <w:footnoteRef/>
      </w:r>
      <w:r>
        <w:t xml:space="preserve"> </w:t>
      </w:r>
      <w:hyperlink r:id="rId7" w:anchor="/node/5385721" w:history="1">
        <w:r w:rsidRPr="004D2006">
          <w:rPr>
            <w:color w:val="0000FF"/>
            <w:u w:val="single"/>
          </w:rPr>
          <w:t>Webstat - Le portail statistique de la Banque de France (banque-france.fr)</w:t>
        </w:r>
      </w:hyperlink>
      <w:r w:rsidR="00E57309" w:rsidRPr="00E57309">
        <w:t xml:space="preserve"> </w:t>
      </w:r>
      <w:r w:rsidR="00E57309" w:rsidRPr="00813380">
        <w:t xml:space="preserve">ou directement dans son </w:t>
      </w:r>
      <w:hyperlink r:id="rId8" w:history="1">
        <w:r w:rsidR="00E57309" w:rsidRPr="00813380">
          <w:rPr>
            <w:rStyle w:val="Lienhypertexte"/>
          </w:rPr>
          <w:t>espace téléchargement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45pt" o:bullet="t">
        <v:imagedata r:id="rId1" o:title="05-Fleche=-picto-5x5"/>
      </v:shape>
    </w:pict>
  </w:numPicBullet>
  <w:numPicBullet w:numPicBulletId="1">
    <w:pict>
      <v:shape id="_x0000_i1027" type="#_x0000_t75" style="width:45pt;height:45pt" o:bullet="t">
        <v:imagedata r:id="rId2" o:title="06-FlecheBas-picto-5x5"/>
      </v:shape>
    </w:pict>
  </w:numPicBullet>
  <w:numPicBullet w:numPicBulletId="2">
    <w:pict>
      <v:shape id="_x0000_i1028" type="#_x0000_t75" style="width:45pt;height:45pt" o:bullet="t">
        <v:imagedata r:id="rId3" o:title="07-FlecheHaut-picto-5x5"/>
      </v:shape>
    </w:pict>
  </w:numPicBullet>
  <w:abstractNum w:abstractNumId="0" w15:restartNumberingAfterBreak="0">
    <w:nsid w:val="FFFFFF7C"/>
    <w:multiLevelType w:val="singleLevel"/>
    <w:tmpl w:val="0CEC3B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FAE3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1EBF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ECEDD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5870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3C23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044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A235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EFF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79A7B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E56B93"/>
    <w:multiLevelType w:val="hybridMultilevel"/>
    <w:tmpl w:val="85CA1C5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BC7448"/>
    <w:multiLevelType w:val="multilevel"/>
    <w:tmpl w:val="040C001D"/>
    <w:styleLink w:val="PuceBaisse"/>
    <w:lvl w:ilvl="0">
      <w:start w:val="1"/>
      <w:numFmt w:val="bullet"/>
      <w:lvlText w:val=""/>
      <w:lvlPicBulletId w:val="1"/>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3990AEF"/>
    <w:multiLevelType w:val="multilevel"/>
    <w:tmpl w:val="0A4EAEB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7D214ED"/>
    <w:multiLevelType w:val="hybridMultilevel"/>
    <w:tmpl w:val="DDA6E242"/>
    <w:lvl w:ilvl="0" w:tplc="8AAA405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1F745C6"/>
    <w:multiLevelType w:val="singleLevel"/>
    <w:tmpl w:val="29D41050"/>
    <w:lvl w:ilvl="0">
      <w:start w:val="1"/>
      <w:numFmt w:val="bullet"/>
      <w:lvlText w:val=""/>
      <w:lvlJc w:val="left"/>
      <w:pPr>
        <w:tabs>
          <w:tab w:val="num" w:pos="360"/>
        </w:tabs>
        <w:ind w:left="227" w:hanging="227"/>
      </w:pPr>
      <w:rPr>
        <w:rFonts w:ascii="Symbol" w:hAnsi="Symbol" w:hint="default"/>
        <w:sz w:val="24"/>
      </w:rPr>
    </w:lvl>
  </w:abstractNum>
  <w:abstractNum w:abstractNumId="15" w15:restartNumberingAfterBreak="0">
    <w:nsid w:val="239B39D5"/>
    <w:multiLevelType w:val="hybridMultilevel"/>
    <w:tmpl w:val="AE3A98D6"/>
    <w:lvl w:ilvl="0" w:tplc="29D41050">
      <w:start w:val="1"/>
      <w:numFmt w:val="bullet"/>
      <w:lvlText w:val=""/>
      <w:lvlJc w:val="left"/>
      <w:pPr>
        <w:ind w:left="360" w:hanging="360"/>
      </w:pPr>
      <w:rPr>
        <w:rFonts w:ascii="Symbol" w:hAnsi="Symbol"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6CD41F3"/>
    <w:multiLevelType w:val="hybridMultilevel"/>
    <w:tmpl w:val="1C647D76"/>
    <w:lvl w:ilvl="0" w:tplc="A4E45EB8">
      <w:start w:val="1"/>
      <w:numFmt w:val="bullet"/>
      <w:lvlText w:val=""/>
      <w:lvlPicBulletId w:val="0"/>
      <w:lvlJc w:val="left"/>
      <w:pPr>
        <w:ind w:left="754" w:hanging="360"/>
      </w:pPr>
      <w:rPr>
        <w:rFonts w:ascii="Symbol" w:hAnsi="Symbol" w:hint="default"/>
        <w:color w:val="auto"/>
        <w:sz w:val="32"/>
        <w:szCs w:val="32"/>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17" w15:restartNumberingAfterBreak="0">
    <w:nsid w:val="2C8538B2"/>
    <w:multiLevelType w:val="hybridMultilevel"/>
    <w:tmpl w:val="61BE1370"/>
    <w:lvl w:ilvl="0" w:tplc="8AAA405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1F07945"/>
    <w:multiLevelType w:val="hybridMultilevel"/>
    <w:tmpl w:val="ED60257E"/>
    <w:lvl w:ilvl="0" w:tplc="AA66B3BC">
      <w:start w:val="1"/>
      <w:numFmt w:val="bullet"/>
      <w:pStyle w:val="STATTextelistepuce"/>
      <w:lvlText w:val=""/>
      <w:lvlJc w:val="left"/>
      <w:pPr>
        <w:ind w:left="720" w:hanging="360"/>
      </w:pPr>
      <w:rPr>
        <w:rFonts w:ascii="Symbol" w:hAnsi="Symbol" w:hint="default"/>
      </w:rPr>
    </w:lvl>
    <w:lvl w:ilvl="1" w:tplc="A38EF672" w:tentative="1">
      <w:start w:val="1"/>
      <w:numFmt w:val="bullet"/>
      <w:lvlText w:val="o"/>
      <w:lvlJc w:val="left"/>
      <w:pPr>
        <w:ind w:left="1440" w:hanging="360"/>
      </w:pPr>
      <w:rPr>
        <w:rFonts w:ascii="Courier New" w:hAnsi="Courier New" w:cs="Courier New" w:hint="default"/>
      </w:rPr>
    </w:lvl>
    <w:lvl w:ilvl="2" w:tplc="18B64068" w:tentative="1">
      <w:start w:val="1"/>
      <w:numFmt w:val="bullet"/>
      <w:lvlText w:val=""/>
      <w:lvlJc w:val="left"/>
      <w:pPr>
        <w:ind w:left="2160" w:hanging="360"/>
      </w:pPr>
      <w:rPr>
        <w:rFonts w:ascii="Wingdings" w:hAnsi="Wingdings" w:hint="default"/>
      </w:rPr>
    </w:lvl>
    <w:lvl w:ilvl="3" w:tplc="3BA0C484" w:tentative="1">
      <w:start w:val="1"/>
      <w:numFmt w:val="bullet"/>
      <w:lvlText w:val=""/>
      <w:lvlJc w:val="left"/>
      <w:pPr>
        <w:ind w:left="2880" w:hanging="360"/>
      </w:pPr>
      <w:rPr>
        <w:rFonts w:ascii="Symbol" w:hAnsi="Symbol" w:hint="default"/>
      </w:rPr>
    </w:lvl>
    <w:lvl w:ilvl="4" w:tplc="98F80174" w:tentative="1">
      <w:start w:val="1"/>
      <w:numFmt w:val="bullet"/>
      <w:lvlText w:val="o"/>
      <w:lvlJc w:val="left"/>
      <w:pPr>
        <w:ind w:left="3600" w:hanging="360"/>
      </w:pPr>
      <w:rPr>
        <w:rFonts w:ascii="Courier New" w:hAnsi="Courier New" w:cs="Courier New" w:hint="default"/>
      </w:rPr>
    </w:lvl>
    <w:lvl w:ilvl="5" w:tplc="22068B08" w:tentative="1">
      <w:start w:val="1"/>
      <w:numFmt w:val="bullet"/>
      <w:lvlText w:val=""/>
      <w:lvlJc w:val="left"/>
      <w:pPr>
        <w:ind w:left="4320" w:hanging="360"/>
      </w:pPr>
      <w:rPr>
        <w:rFonts w:ascii="Wingdings" w:hAnsi="Wingdings" w:hint="default"/>
      </w:rPr>
    </w:lvl>
    <w:lvl w:ilvl="6" w:tplc="50CAC966" w:tentative="1">
      <w:start w:val="1"/>
      <w:numFmt w:val="bullet"/>
      <w:lvlText w:val=""/>
      <w:lvlJc w:val="left"/>
      <w:pPr>
        <w:ind w:left="5040" w:hanging="360"/>
      </w:pPr>
      <w:rPr>
        <w:rFonts w:ascii="Symbol" w:hAnsi="Symbol" w:hint="default"/>
      </w:rPr>
    </w:lvl>
    <w:lvl w:ilvl="7" w:tplc="C5FC1072" w:tentative="1">
      <w:start w:val="1"/>
      <w:numFmt w:val="bullet"/>
      <w:lvlText w:val="o"/>
      <w:lvlJc w:val="left"/>
      <w:pPr>
        <w:ind w:left="5760" w:hanging="360"/>
      </w:pPr>
      <w:rPr>
        <w:rFonts w:ascii="Courier New" w:hAnsi="Courier New" w:cs="Courier New" w:hint="default"/>
      </w:rPr>
    </w:lvl>
    <w:lvl w:ilvl="8" w:tplc="4ACE45D2" w:tentative="1">
      <w:start w:val="1"/>
      <w:numFmt w:val="bullet"/>
      <w:lvlText w:val=""/>
      <w:lvlJc w:val="left"/>
      <w:pPr>
        <w:ind w:left="6480" w:hanging="360"/>
      </w:pPr>
      <w:rPr>
        <w:rFonts w:ascii="Wingdings" w:hAnsi="Wingdings" w:hint="default"/>
      </w:rPr>
    </w:lvl>
  </w:abstractNum>
  <w:abstractNum w:abstractNumId="19" w15:restartNumberingAfterBreak="0">
    <w:nsid w:val="382635AE"/>
    <w:multiLevelType w:val="singleLevel"/>
    <w:tmpl w:val="29D41050"/>
    <w:lvl w:ilvl="0">
      <w:start w:val="1"/>
      <w:numFmt w:val="bullet"/>
      <w:lvlText w:val=""/>
      <w:lvlJc w:val="left"/>
      <w:pPr>
        <w:tabs>
          <w:tab w:val="num" w:pos="360"/>
        </w:tabs>
        <w:ind w:left="227" w:hanging="227"/>
      </w:pPr>
      <w:rPr>
        <w:rFonts w:ascii="Symbol" w:hAnsi="Symbol" w:hint="default"/>
        <w:sz w:val="24"/>
      </w:rPr>
    </w:lvl>
  </w:abstractNum>
  <w:abstractNum w:abstractNumId="20" w15:restartNumberingAfterBreak="0">
    <w:nsid w:val="4BB70226"/>
    <w:multiLevelType w:val="hybridMultilevel"/>
    <w:tmpl w:val="DA244082"/>
    <w:lvl w:ilvl="0" w:tplc="68A2A0CA">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F35771E"/>
    <w:multiLevelType w:val="hybridMultilevel"/>
    <w:tmpl w:val="BB76338C"/>
    <w:lvl w:ilvl="0" w:tplc="040C001B">
      <w:start w:val="1"/>
      <w:numFmt w:val="low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15:restartNumberingAfterBreak="0">
    <w:nsid w:val="56B1099A"/>
    <w:multiLevelType w:val="singleLevel"/>
    <w:tmpl w:val="29D41050"/>
    <w:lvl w:ilvl="0">
      <w:start w:val="1"/>
      <w:numFmt w:val="bullet"/>
      <w:lvlText w:val=""/>
      <w:lvlJc w:val="left"/>
      <w:pPr>
        <w:tabs>
          <w:tab w:val="num" w:pos="360"/>
        </w:tabs>
        <w:ind w:left="227" w:hanging="227"/>
      </w:pPr>
      <w:rPr>
        <w:rFonts w:ascii="Symbol" w:hAnsi="Symbol" w:hint="default"/>
        <w:sz w:val="24"/>
      </w:rPr>
    </w:lvl>
  </w:abstractNum>
  <w:abstractNum w:abstractNumId="23" w15:restartNumberingAfterBreak="0">
    <w:nsid w:val="574A0799"/>
    <w:multiLevelType w:val="hybridMultilevel"/>
    <w:tmpl w:val="819A5C42"/>
    <w:lvl w:ilvl="0" w:tplc="040C0005">
      <w:start w:val="1"/>
      <w:numFmt w:val="bullet"/>
      <w:lvlText w:val=""/>
      <w:lvlJc w:val="left"/>
      <w:pPr>
        <w:ind w:left="1750" w:hanging="360"/>
      </w:pPr>
      <w:rPr>
        <w:rFonts w:ascii="Wingdings" w:hAnsi="Wingdings" w:hint="default"/>
      </w:rPr>
    </w:lvl>
    <w:lvl w:ilvl="1" w:tplc="040C0003" w:tentative="1">
      <w:start w:val="1"/>
      <w:numFmt w:val="bullet"/>
      <w:lvlText w:val="o"/>
      <w:lvlJc w:val="left"/>
      <w:pPr>
        <w:ind w:left="2470" w:hanging="360"/>
      </w:pPr>
      <w:rPr>
        <w:rFonts w:ascii="Courier New" w:hAnsi="Courier New" w:cs="Courier New" w:hint="default"/>
      </w:rPr>
    </w:lvl>
    <w:lvl w:ilvl="2" w:tplc="040C0005" w:tentative="1">
      <w:start w:val="1"/>
      <w:numFmt w:val="bullet"/>
      <w:lvlText w:val=""/>
      <w:lvlJc w:val="left"/>
      <w:pPr>
        <w:ind w:left="3190" w:hanging="360"/>
      </w:pPr>
      <w:rPr>
        <w:rFonts w:ascii="Wingdings" w:hAnsi="Wingdings" w:hint="default"/>
      </w:rPr>
    </w:lvl>
    <w:lvl w:ilvl="3" w:tplc="040C0001" w:tentative="1">
      <w:start w:val="1"/>
      <w:numFmt w:val="bullet"/>
      <w:lvlText w:val=""/>
      <w:lvlJc w:val="left"/>
      <w:pPr>
        <w:ind w:left="3910" w:hanging="360"/>
      </w:pPr>
      <w:rPr>
        <w:rFonts w:ascii="Symbol" w:hAnsi="Symbol" w:hint="default"/>
      </w:rPr>
    </w:lvl>
    <w:lvl w:ilvl="4" w:tplc="040C0003" w:tentative="1">
      <w:start w:val="1"/>
      <w:numFmt w:val="bullet"/>
      <w:lvlText w:val="o"/>
      <w:lvlJc w:val="left"/>
      <w:pPr>
        <w:ind w:left="4630" w:hanging="360"/>
      </w:pPr>
      <w:rPr>
        <w:rFonts w:ascii="Courier New" w:hAnsi="Courier New" w:cs="Courier New" w:hint="default"/>
      </w:rPr>
    </w:lvl>
    <w:lvl w:ilvl="5" w:tplc="040C0005" w:tentative="1">
      <w:start w:val="1"/>
      <w:numFmt w:val="bullet"/>
      <w:lvlText w:val=""/>
      <w:lvlJc w:val="left"/>
      <w:pPr>
        <w:ind w:left="5350" w:hanging="360"/>
      </w:pPr>
      <w:rPr>
        <w:rFonts w:ascii="Wingdings" w:hAnsi="Wingdings" w:hint="default"/>
      </w:rPr>
    </w:lvl>
    <w:lvl w:ilvl="6" w:tplc="040C0001" w:tentative="1">
      <w:start w:val="1"/>
      <w:numFmt w:val="bullet"/>
      <w:lvlText w:val=""/>
      <w:lvlJc w:val="left"/>
      <w:pPr>
        <w:ind w:left="6070" w:hanging="360"/>
      </w:pPr>
      <w:rPr>
        <w:rFonts w:ascii="Symbol" w:hAnsi="Symbol" w:hint="default"/>
      </w:rPr>
    </w:lvl>
    <w:lvl w:ilvl="7" w:tplc="040C0003" w:tentative="1">
      <w:start w:val="1"/>
      <w:numFmt w:val="bullet"/>
      <w:lvlText w:val="o"/>
      <w:lvlJc w:val="left"/>
      <w:pPr>
        <w:ind w:left="6790" w:hanging="360"/>
      </w:pPr>
      <w:rPr>
        <w:rFonts w:ascii="Courier New" w:hAnsi="Courier New" w:cs="Courier New" w:hint="default"/>
      </w:rPr>
    </w:lvl>
    <w:lvl w:ilvl="8" w:tplc="040C0005" w:tentative="1">
      <w:start w:val="1"/>
      <w:numFmt w:val="bullet"/>
      <w:lvlText w:val=""/>
      <w:lvlJc w:val="left"/>
      <w:pPr>
        <w:ind w:left="7510" w:hanging="360"/>
      </w:pPr>
      <w:rPr>
        <w:rFonts w:ascii="Wingdings" w:hAnsi="Wingdings" w:hint="default"/>
      </w:rPr>
    </w:lvl>
  </w:abstractNum>
  <w:abstractNum w:abstractNumId="24" w15:restartNumberingAfterBreak="0">
    <w:nsid w:val="581D130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86B5332"/>
    <w:multiLevelType w:val="hybridMultilevel"/>
    <w:tmpl w:val="C25E466C"/>
    <w:lvl w:ilvl="0" w:tplc="4B6244A4">
      <w:start w:val="1"/>
      <w:numFmt w:val="bullet"/>
      <w:lvlText w:val="-"/>
      <w:lvlJc w:val="left"/>
      <w:pPr>
        <w:tabs>
          <w:tab w:val="num" w:pos="113"/>
        </w:tabs>
        <w:ind w:left="340" w:hanging="283"/>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1B1868"/>
    <w:multiLevelType w:val="multilevel"/>
    <w:tmpl w:val="040C001D"/>
    <w:styleLink w:val="Pucegale"/>
    <w:lvl w:ilvl="0">
      <w:start w:val="1"/>
      <w:numFmt w:val="bullet"/>
      <w:lvlText w:val=""/>
      <w:lvlPicBulletId w:val="0"/>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ECD1792"/>
    <w:multiLevelType w:val="hybridMultilevel"/>
    <w:tmpl w:val="C3A89BD8"/>
    <w:lvl w:ilvl="0" w:tplc="040C0005">
      <w:start w:val="1"/>
      <w:numFmt w:val="bullet"/>
      <w:lvlText w:val=""/>
      <w:lvlJc w:val="left"/>
      <w:pPr>
        <w:ind w:left="833" w:hanging="360"/>
      </w:pPr>
      <w:rPr>
        <w:rFonts w:ascii="Wingdings" w:hAnsi="Wingdings"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28" w15:restartNumberingAfterBreak="0">
    <w:nsid w:val="5F8001B4"/>
    <w:multiLevelType w:val="hybridMultilevel"/>
    <w:tmpl w:val="B32EA078"/>
    <w:lvl w:ilvl="0" w:tplc="9D403292">
      <w:start w:val="1"/>
      <w:numFmt w:val="bullet"/>
      <w:lvlText w:val=""/>
      <w:lvlPicBulletId w:val="2"/>
      <w:lvlJc w:val="left"/>
      <w:pPr>
        <w:ind w:left="754" w:hanging="360"/>
      </w:pPr>
      <w:rPr>
        <w:rFonts w:ascii="Symbol" w:hAnsi="Symbol" w:hint="default"/>
        <w:color w:val="auto"/>
        <w:sz w:val="32"/>
        <w:szCs w:val="32"/>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29" w15:restartNumberingAfterBreak="0">
    <w:nsid w:val="61320D67"/>
    <w:multiLevelType w:val="hybridMultilevel"/>
    <w:tmpl w:val="B5367CD4"/>
    <w:lvl w:ilvl="0" w:tplc="1DB06448">
      <w:numFmt w:val="bullet"/>
      <w:lvlText w:val="-"/>
      <w:lvlJc w:val="left"/>
      <w:pPr>
        <w:tabs>
          <w:tab w:val="num" w:pos="720"/>
        </w:tabs>
        <w:ind w:left="720" w:hanging="360"/>
      </w:pPr>
      <w:rPr>
        <w:rFonts w:ascii="Univers" w:eastAsia="Times New Roman" w:hAnsi="Univer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734CB5"/>
    <w:multiLevelType w:val="singleLevel"/>
    <w:tmpl w:val="5D0CFFB0"/>
    <w:lvl w:ilvl="0">
      <w:start w:val="1"/>
      <w:numFmt w:val="bullet"/>
      <w:lvlText w:val="–"/>
      <w:lvlJc w:val="left"/>
      <w:pPr>
        <w:tabs>
          <w:tab w:val="num" w:pos="360"/>
        </w:tabs>
        <w:ind w:left="0" w:firstLine="0"/>
      </w:pPr>
      <w:rPr>
        <w:rFonts w:ascii="Arial" w:hAnsi="Arial" w:hint="default"/>
        <w:b/>
        <w:i w:val="0"/>
        <w:sz w:val="15"/>
      </w:rPr>
    </w:lvl>
  </w:abstractNum>
  <w:abstractNum w:abstractNumId="31" w15:restartNumberingAfterBreak="0">
    <w:nsid w:val="62423CB6"/>
    <w:multiLevelType w:val="hybridMultilevel"/>
    <w:tmpl w:val="5B368A44"/>
    <w:lvl w:ilvl="0" w:tplc="F8B0246E">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E725F5"/>
    <w:multiLevelType w:val="hybridMultilevel"/>
    <w:tmpl w:val="CF3234EA"/>
    <w:lvl w:ilvl="0" w:tplc="599C1400">
      <w:start w:val="1"/>
      <w:numFmt w:val="bullet"/>
      <w:lvlText w:val=""/>
      <w:lvlPicBulletId w:val="1"/>
      <w:lvlJc w:val="left"/>
      <w:pPr>
        <w:ind w:left="754" w:hanging="360"/>
      </w:pPr>
      <w:rPr>
        <w:rFonts w:ascii="Symbol" w:hAnsi="Symbol" w:hint="default"/>
        <w:color w:val="auto"/>
        <w:sz w:val="32"/>
        <w:szCs w:val="32"/>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33" w15:restartNumberingAfterBreak="0">
    <w:nsid w:val="696056F1"/>
    <w:multiLevelType w:val="multilevel"/>
    <w:tmpl w:val="3C866190"/>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4" w15:restartNumberingAfterBreak="0">
    <w:nsid w:val="6E8F3BEF"/>
    <w:multiLevelType w:val="hybridMultilevel"/>
    <w:tmpl w:val="01BE1474"/>
    <w:lvl w:ilvl="0" w:tplc="333AC3CA">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2184072"/>
    <w:multiLevelType w:val="hybridMultilevel"/>
    <w:tmpl w:val="185CD0EA"/>
    <w:lvl w:ilvl="0" w:tplc="68A2A0CA">
      <w:start w:val="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746D5AFD"/>
    <w:multiLevelType w:val="hybridMultilevel"/>
    <w:tmpl w:val="BB76338C"/>
    <w:lvl w:ilvl="0" w:tplc="040C001B">
      <w:start w:val="1"/>
      <w:numFmt w:val="low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7" w15:restartNumberingAfterBreak="0">
    <w:nsid w:val="76DD57C2"/>
    <w:multiLevelType w:val="singleLevel"/>
    <w:tmpl w:val="DC484E8E"/>
    <w:lvl w:ilvl="0">
      <w:start w:val="1"/>
      <w:numFmt w:val="bullet"/>
      <w:lvlText w:val="–"/>
      <w:lvlJc w:val="left"/>
      <w:pPr>
        <w:tabs>
          <w:tab w:val="num" w:pos="360"/>
        </w:tabs>
        <w:ind w:left="0" w:firstLine="0"/>
      </w:pPr>
      <w:rPr>
        <w:rFonts w:ascii="Arial" w:hAnsi="Arial" w:hint="default"/>
        <w:b/>
        <w:i w:val="0"/>
        <w:sz w:val="15"/>
      </w:rPr>
    </w:lvl>
  </w:abstractNum>
  <w:abstractNum w:abstractNumId="38" w15:restartNumberingAfterBreak="0">
    <w:nsid w:val="78411ABF"/>
    <w:multiLevelType w:val="singleLevel"/>
    <w:tmpl w:val="29D41050"/>
    <w:lvl w:ilvl="0">
      <w:start w:val="1"/>
      <w:numFmt w:val="bullet"/>
      <w:lvlText w:val=""/>
      <w:lvlJc w:val="left"/>
      <w:pPr>
        <w:tabs>
          <w:tab w:val="num" w:pos="360"/>
        </w:tabs>
        <w:ind w:left="227" w:hanging="227"/>
      </w:pPr>
      <w:rPr>
        <w:rFonts w:ascii="Symbol" w:hAnsi="Symbol" w:hint="default"/>
        <w:sz w:val="24"/>
      </w:rPr>
    </w:lvl>
  </w:abstractNum>
  <w:abstractNum w:abstractNumId="39" w15:restartNumberingAfterBreak="0">
    <w:nsid w:val="784A119A"/>
    <w:multiLevelType w:val="singleLevel"/>
    <w:tmpl w:val="BF5CCD90"/>
    <w:lvl w:ilvl="0">
      <w:start w:val="1"/>
      <w:numFmt w:val="lowerLetter"/>
      <w:lvlText w:val="(%1)"/>
      <w:lvlJc w:val="left"/>
      <w:pPr>
        <w:tabs>
          <w:tab w:val="num" w:pos="360"/>
        </w:tabs>
        <w:ind w:left="360" w:hanging="360"/>
      </w:pPr>
      <w:rPr>
        <w:b w:val="0"/>
        <w:i w:val="0"/>
      </w:rPr>
    </w:lvl>
  </w:abstractNum>
  <w:abstractNum w:abstractNumId="40" w15:restartNumberingAfterBreak="0">
    <w:nsid w:val="79661283"/>
    <w:multiLevelType w:val="multilevel"/>
    <w:tmpl w:val="07E899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CCE35CD"/>
    <w:multiLevelType w:val="hybridMultilevel"/>
    <w:tmpl w:val="60E83458"/>
    <w:lvl w:ilvl="0" w:tplc="8AAA4050">
      <w:start w:val="2"/>
      <w:numFmt w:val="bullet"/>
      <w:lvlText w:val="-"/>
      <w:lvlJc w:val="left"/>
      <w:pPr>
        <w:ind w:left="1077" w:hanging="360"/>
      </w:pPr>
      <w:rPr>
        <w:rFonts w:ascii="Times New Roman" w:eastAsia="Times New Roman" w:hAnsi="Times New Roman" w:cs="Times New Roman"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42" w15:restartNumberingAfterBreak="0">
    <w:nsid w:val="7DC008D1"/>
    <w:multiLevelType w:val="singleLevel"/>
    <w:tmpl w:val="5D0CFFB0"/>
    <w:lvl w:ilvl="0">
      <w:start w:val="1"/>
      <w:numFmt w:val="bullet"/>
      <w:lvlText w:val="–"/>
      <w:lvlJc w:val="left"/>
      <w:pPr>
        <w:tabs>
          <w:tab w:val="num" w:pos="360"/>
        </w:tabs>
        <w:ind w:left="0" w:firstLine="0"/>
      </w:pPr>
      <w:rPr>
        <w:rFonts w:ascii="Arial" w:hAnsi="Arial" w:hint="default"/>
        <w:b/>
        <w:i w:val="0"/>
        <w:sz w:val="15"/>
      </w:rPr>
    </w:lvl>
  </w:abstractNum>
  <w:num w:numId="1">
    <w:abstractNumId w:val="18"/>
  </w:num>
  <w:num w:numId="2">
    <w:abstractNumId w:val="26"/>
  </w:num>
  <w:num w:numId="3">
    <w:abstractNumId w:val="11"/>
  </w:num>
  <w:num w:numId="4">
    <w:abstractNumId w:val="16"/>
  </w:num>
  <w:num w:numId="5">
    <w:abstractNumId w:val="28"/>
  </w:num>
  <w:num w:numId="6">
    <w:abstractNumId w:val="32"/>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27"/>
  </w:num>
  <w:num w:numId="18">
    <w:abstractNumId w:val="23"/>
  </w:num>
  <w:num w:numId="19">
    <w:abstractNumId w:val="39"/>
  </w:num>
  <w:num w:numId="20">
    <w:abstractNumId w:val="37"/>
  </w:num>
  <w:num w:numId="21">
    <w:abstractNumId w:val="30"/>
  </w:num>
  <w:num w:numId="22">
    <w:abstractNumId w:val="42"/>
  </w:num>
  <w:num w:numId="23">
    <w:abstractNumId w:val="29"/>
  </w:num>
  <w:num w:numId="24">
    <w:abstractNumId w:val="31"/>
  </w:num>
  <w:num w:numId="25">
    <w:abstractNumId w:val="38"/>
  </w:num>
  <w:num w:numId="26">
    <w:abstractNumId w:val="19"/>
  </w:num>
  <w:num w:numId="27">
    <w:abstractNumId w:val="14"/>
  </w:num>
  <w:num w:numId="28">
    <w:abstractNumId w:val="25"/>
  </w:num>
  <w:num w:numId="29">
    <w:abstractNumId w:val="22"/>
  </w:num>
  <w:num w:numId="30">
    <w:abstractNumId w:val="15"/>
  </w:num>
  <w:num w:numId="31">
    <w:abstractNumId w:val="17"/>
  </w:num>
  <w:num w:numId="32">
    <w:abstractNumId w:val="13"/>
  </w:num>
  <w:num w:numId="33">
    <w:abstractNumId w:val="41"/>
  </w:num>
  <w:num w:numId="34">
    <w:abstractNumId w:val="40"/>
  </w:num>
  <w:num w:numId="35">
    <w:abstractNumId w:val="34"/>
  </w:num>
  <w:num w:numId="36">
    <w:abstractNumId w:val="36"/>
  </w:num>
  <w:num w:numId="37">
    <w:abstractNumId w:val="20"/>
  </w:num>
  <w:num w:numId="38">
    <w:abstractNumId w:val="35"/>
  </w:num>
  <w:num w:numId="39">
    <w:abstractNumId w:val="21"/>
  </w:num>
  <w:num w:numId="40">
    <w:abstractNumId w:val="24"/>
  </w:num>
  <w:num w:numId="41">
    <w:abstractNumId w:val="33"/>
  </w:num>
  <w:num w:numId="42">
    <w:abstractNumId w:val="12"/>
  </w:num>
  <w:num w:numId="43">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9" w:dllVersion="512" w:checkStyle="1"/>
  <w:activeWritingStyle w:appName="MSWord" w:lang="nl-NL" w:vendorID="1" w:dllVersion="512"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27"/>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LogoBDF" w:val="Empty"/>
    <w:docVar w:name="OLE_LINK1" w:val="Empty"/>
    <w:docVar w:name="OLE_LINK2" w:val="Empty"/>
  </w:docVars>
  <w:rsids>
    <w:rsidRoot w:val="000F261C"/>
    <w:rsid w:val="000040D2"/>
    <w:rsid w:val="000067B0"/>
    <w:rsid w:val="000111FB"/>
    <w:rsid w:val="00013743"/>
    <w:rsid w:val="0001521C"/>
    <w:rsid w:val="00015364"/>
    <w:rsid w:val="00017C75"/>
    <w:rsid w:val="00020784"/>
    <w:rsid w:val="000207BB"/>
    <w:rsid w:val="00021481"/>
    <w:rsid w:val="00022E57"/>
    <w:rsid w:val="00022F5D"/>
    <w:rsid w:val="000275F9"/>
    <w:rsid w:val="00030A25"/>
    <w:rsid w:val="00032CC2"/>
    <w:rsid w:val="00033DBB"/>
    <w:rsid w:val="00035088"/>
    <w:rsid w:val="00046602"/>
    <w:rsid w:val="000527E2"/>
    <w:rsid w:val="00055746"/>
    <w:rsid w:val="00055F1C"/>
    <w:rsid w:val="00060101"/>
    <w:rsid w:val="00061B03"/>
    <w:rsid w:val="00062AE1"/>
    <w:rsid w:val="00070D30"/>
    <w:rsid w:val="00075155"/>
    <w:rsid w:val="00080637"/>
    <w:rsid w:val="000809A9"/>
    <w:rsid w:val="00081027"/>
    <w:rsid w:val="00085B85"/>
    <w:rsid w:val="00087AFA"/>
    <w:rsid w:val="00090517"/>
    <w:rsid w:val="00093554"/>
    <w:rsid w:val="000978B4"/>
    <w:rsid w:val="000A1EE2"/>
    <w:rsid w:val="000A769B"/>
    <w:rsid w:val="000B3B5C"/>
    <w:rsid w:val="000B3E11"/>
    <w:rsid w:val="000B41F5"/>
    <w:rsid w:val="000C04B8"/>
    <w:rsid w:val="000C41CD"/>
    <w:rsid w:val="000D18FC"/>
    <w:rsid w:val="000D2255"/>
    <w:rsid w:val="000D3001"/>
    <w:rsid w:val="000D5DB4"/>
    <w:rsid w:val="000D64B3"/>
    <w:rsid w:val="000D7B6C"/>
    <w:rsid w:val="000F0227"/>
    <w:rsid w:val="000F1B4F"/>
    <w:rsid w:val="000F261C"/>
    <w:rsid w:val="000F3D9C"/>
    <w:rsid w:val="000F4A49"/>
    <w:rsid w:val="000F519C"/>
    <w:rsid w:val="000F5795"/>
    <w:rsid w:val="001006D1"/>
    <w:rsid w:val="00104D5F"/>
    <w:rsid w:val="00105E77"/>
    <w:rsid w:val="00106A32"/>
    <w:rsid w:val="00107392"/>
    <w:rsid w:val="0010767F"/>
    <w:rsid w:val="00112A85"/>
    <w:rsid w:val="00114251"/>
    <w:rsid w:val="00116FE0"/>
    <w:rsid w:val="00123192"/>
    <w:rsid w:val="0012547C"/>
    <w:rsid w:val="00130CC7"/>
    <w:rsid w:val="0013121F"/>
    <w:rsid w:val="0013370B"/>
    <w:rsid w:val="0013670C"/>
    <w:rsid w:val="00140383"/>
    <w:rsid w:val="00143172"/>
    <w:rsid w:val="00144E33"/>
    <w:rsid w:val="001523EC"/>
    <w:rsid w:val="001567D3"/>
    <w:rsid w:val="00161CFD"/>
    <w:rsid w:val="00162102"/>
    <w:rsid w:val="0016346D"/>
    <w:rsid w:val="00164A2F"/>
    <w:rsid w:val="0017001B"/>
    <w:rsid w:val="00171C69"/>
    <w:rsid w:val="00177F58"/>
    <w:rsid w:val="00182901"/>
    <w:rsid w:val="00182EE1"/>
    <w:rsid w:val="00185A33"/>
    <w:rsid w:val="00186C8A"/>
    <w:rsid w:val="00187752"/>
    <w:rsid w:val="00187E1A"/>
    <w:rsid w:val="001910D5"/>
    <w:rsid w:val="00191C99"/>
    <w:rsid w:val="001951EE"/>
    <w:rsid w:val="001A5ADE"/>
    <w:rsid w:val="001A7DA5"/>
    <w:rsid w:val="001B2B9B"/>
    <w:rsid w:val="001B2C96"/>
    <w:rsid w:val="001B35CE"/>
    <w:rsid w:val="001B4A17"/>
    <w:rsid w:val="001B5E0A"/>
    <w:rsid w:val="001C28E8"/>
    <w:rsid w:val="001C6E8C"/>
    <w:rsid w:val="001C7586"/>
    <w:rsid w:val="001D0169"/>
    <w:rsid w:val="001D28CB"/>
    <w:rsid w:val="001E0629"/>
    <w:rsid w:val="001E28C0"/>
    <w:rsid w:val="001E66AF"/>
    <w:rsid w:val="001F143B"/>
    <w:rsid w:val="001F216C"/>
    <w:rsid w:val="001F2716"/>
    <w:rsid w:val="001F28F8"/>
    <w:rsid w:val="001F32F2"/>
    <w:rsid w:val="001F4FFC"/>
    <w:rsid w:val="001F54BF"/>
    <w:rsid w:val="001F5615"/>
    <w:rsid w:val="001F6763"/>
    <w:rsid w:val="0020267E"/>
    <w:rsid w:val="00203D67"/>
    <w:rsid w:val="0020487A"/>
    <w:rsid w:val="002055C5"/>
    <w:rsid w:val="00207EA1"/>
    <w:rsid w:val="0021349E"/>
    <w:rsid w:val="00214E7C"/>
    <w:rsid w:val="00221379"/>
    <w:rsid w:val="002233CE"/>
    <w:rsid w:val="0023719B"/>
    <w:rsid w:val="00241DF3"/>
    <w:rsid w:val="002446FC"/>
    <w:rsid w:val="00245603"/>
    <w:rsid w:val="00245856"/>
    <w:rsid w:val="00250E07"/>
    <w:rsid w:val="0025570F"/>
    <w:rsid w:val="0026248F"/>
    <w:rsid w:val="002625CF"/>
    <w:rsid w:val="00263430"/>
    <w:rsid w:val="00266E37"/>
    <w:rsid w:val="00271B69"/>
    <w:rsid w:val="00271F19"/>
    <w:rsid w:val="00273738"/>
    <w:rsid w:val="002749FC"/>
    <w:rsid w:val="00280569"/>
    <w:rsid w:val="00281858"/>
    <w:rsid w:val="00281ED7"/>
    <w:rsid w:val="0028383B"/>
    <w:rsid w:val="00287FCD"/>
    <w:rsid w:val="00290E52"/>
    <w:rsid w:val="002922E7"/>
    <w:rsid w:val="002946F1"/>
    <w:rsid w:val="002957B3"/>
    <w:rsid w:val="00297C23"/>
    <w:rsid w:val="002A2BCB"/>
    <w:rsid w:val="002A549B"/>
    <w:rsid w:val="002A60FB"/>
    <w:rsid w:val="002A6545"/>
    <w:rsid w:val="002B1BC9"/>
    <w:rsid w:val="002B233E"/>
    <w:rsid w:val="002B2B33"/>
    <w:rsid w:val="002B4863"/>
    <w:rsid w:val="002B63C5"/>
    <w:rsid w:val="002B6A4A"/>
    <w:rsid w:val="002C45AC"/>
    <w:rsid w:val="002D39D8"/>
    <w:rsid w:val="002D435B"/>
    <w:rsid w:val="002D48B8"/>
    <w:rsid w:val="002E14BE"/>
    <w:rsid w:val="002E1FE7"/>
    <w:rsid w:val="002E32DD"/>
    <w:rsid w:val="002E591A"/>
    <w:rsid w:val="002F029A"/>
    <w:rsid w:val="002F2076"/>
    <w:rsid w:val="002F2D11"/>
    <w:rsid w:val="002F38FD"/>
    <w:rsid w:val="002F3F3D"/>
    <w:rsid w:val="002F4F32"/>
    <w:rsid w:val="002F6724"/>
    <w:rsid w:val="00305C1E"/>
    <w:rsid w:val="00306941"/>
    <w:rsid w:val="003072BE"/>
    <w:rsid w:val="00322F4B"/>
    <w:rsid w:val="003238B6"/>
    <w:rsid w:val="00325642"/>
    <w:rsid w:val="003319FF"/>
    <w:rsid w:val="003360D6"/>
    <w:rsid w:val="00342F71"/>
    <w:rsid w:val="00350DBA"/>
    <w:rsid w:val="00350E49"/>
    <w:rsid w:val="003536BC"/>
    <w:rsid w:val="00356EFF"/>
    <w:rsid w:val="00357916"/>
    <w:rsid w:val="00367094"/>
    <w:rsid w:val="00370067"/>
    <w:rsid w:val="00371B47"/>
    <w:rsid w:val="003826AC"/>
    <w:rsid w:val="00384DAA"/>
    <w:rsid w:val="0039500F"/>
    <w:rsid w:val="003A6102"/>
    <w:rsid w:val="003A6721"/>
    <w:rsid w:val="003B1985"/>
    <w:rsid w:val="003B2433"/>
    <w:rsid w:val="003B2A70"/>
    <w:rsid w:val="003C4D45"/>
    <w:rsid w:val="003C559C"/>
    <w:rsid w:val="003C78FF"/>
    <w:rsid w:val="003E2383"/>
    <w:rsid w:val="003E5C73"/>
    <w:rsid w:val="003F0AB4"/>
    <w:rsid w:val="003F260C"/>
    <w:rsid w:val="003F5CFC"/>
    <w:rsid w:val="003F5FBA"/>
    <w:rsid w:val="003F621A"/>
    <w:rsid w:val="00401F44"/>
    <w:rsid w:val="00404838"/>
    <w:rsid w:val="004113BD"/>
    <w:rsid w:val="004119D1"/>
    <w:rsid w:val="0041204D"/>
    <w:rsid w:val="00412708"/>
    <w:rsid w:val="00415CA1"/>
    <w:rsid w:val="0041613C"/>
    <w:rsid w:val="004228E4"/>
    <w:rsid w:val="004230B8"/>
    <w:rsid w:val="00423CEB"/>
    <w:rsid w:val="0042584B"/>
    <w:rsid w:val="004344D8"/>
    <w:rsid w:val="004434F8"/>
    <w:rsid w:val="004440CC"/>
    <w:rsid w:val="004445F4"/>
    <w:rsid w:val="004476BC"/>
    <w:rsid w:val="0045564A"/>
    <w:rsid w:val="00455E41"/>
    <w:rsid w:val="004642D0"/>
    <w:rsid w:val="0046778D"/>
    <w:rsid w:val="00472230"/>
    <w:rsid w:val="0047329D"/>
    <w:rsid w:val="00475752"/>
    <w:rsid w:val="00477606"/>
    <w:rsid w:val="00484053"/>
    <w:rsid w:val="004865D6"/>
    <w:rsid w:val="00486825"/>
    <w:rsid w:val="00490BD4"/>
    <w:rsid w:val="0049257E"/>
    <w:rsid w:val="00494454"/>
    <w:rsid w:val="004A0461"/>
    <w:rsid w:val="004A500D"/>
    <w:rsid w:val="004A764A"/>
    <w:rsid w:val="004B0954"/>
    <w:rsid w:val="004B40E5"/>
    <w:rsid w:val="004B6D34"/>
    <w:rsid w:val="004D0B89"/>
    <w:rsid w:val="004D2006"/>
    <w:rsid w:val="004D22F3"/>
    <w:rsid w:val="004D4E7C"/>
    <w:rsid w:val="004D51EB"/>
    <w:rsid w:val="004D5CB9"/>
    <w:rsid w:val="004E2C04"/>
    <w:rsid w:val="004F0663"/>
    <w:rsid w:val="004F2177"/>
    <w:rsid w:val="004F2289"/>
    <w:rsid w:val="004F3379"/>
    <w:rsid w:val="0050146A"/>
    <w:rsid w:val="0050368F"/>
    <w:rsid w:val="005110DB"/>
    <w:rsid w:val="00511A8D"/>
    <w:rsid w:val="00511FF2"/>
    <w:rsid w:val="0051350F"/>
    <w:rsid w:val="00521046"/>
    <w:rsid w:val="00523F83"/>
    <w:rsid w:val="0052553F"/>
    <w:rsid w:val="00527D47"/>
    <w:rsid w:val="005359A3"/>
    <w:rsid w:val="00536DB9"/>
    <w:rsid w:val="0053797B"/>
    <w:rsid w:val="00544BC3"/>
    <w:rsid w:val="00544E7C"/>
    <w:rsid w:val="00545132"/>
    <w:rsid w:val="0054589C"/>
    <w:rsid w:val="00545B17"/>
    <w:rsid w:val="00551040"/>
    <w:rsid w:val="00555C98"/>
    <w:rsid w:val="00556604"/>
    <w:rsid w:val="00562ED7"/>
    <w:rsid w:val="00566EB3"/>
    <w:rsid w:val="00567E9A"/>
    <w:rsid w:val="00570E63"/>
    <w:rsid w:val="005725BA"/>
    <w:rsid w:val="00574948"/>
    <w:rsid w:val="00582D7B"/>
    <w:rsid w:val="00584E6B"/>
    <w:rsid w:val="00586D92"/>
    <w:rsid w:val="00586EF3"/>
    <w:rsid w:val="005877C3"/>
    <w:rsid w:val="0059237D"/>
    <w:rsid w:val="00595883"/>
    <w:rsid w:val="0059678B"/>
    <w:rsid w:val="005A0633"/>
    <w:rsid w:val="005A0F31"/>
    <w:rsid w:val="005A2798"/>
    <w:rsid w:val="005A2F7C"/>
    <w:rsid w:val="005B26F9"/>
    <w:rsid w:val="005B2CCE"/>
    <w:rsid w:val="005B4669"/>
    <w:rsid w:val="005B491B"/>
    <w:rsid w:val="005B57F6"/>
    <w:rsid w:val="005B5A93"/>
    <w:rsid w:val="005C1D16"/>
    <w:rsid w:val="005C3ADC"/>
    <w:rsid w:val="005C479A"/>
    <w:rsid w:val="005C6BFE"/>
    <w:rsid w:val="005D0FAD"/>
    <w:rsid w:val="005D1A3C"/>
    <w:rsid w:val="005D1C6B"/>
    <w:rsid w:val="005D2F0F"/>
    <w:rsid w:val="005D301E"/>
    <w:rsid w:val="005D452B"/>
    <w:rsid w:val="005D4B85"/>
    <w:rsid w:val="005D6BA4"/>
    <w:rsid w:val="005E08C8"/>
    <w:rsid w:val="005E288A"/>
    <w:rsid w:val="005E4A81"/>
    <w:rsid w:val="005E5F6A"/>
    <w:rsid w:val="005F0CA1"/>
    <w:rsid w:val="005F1CBD"/>
    <w:rsid w:val="005F2AC4"/>
    <w:rsid w:val="005F34C5"/>
    <w:rsid w:val="005F754D"/>
    <w:rsid w:val="005F7FD5"/>
    <w:rsid w:val="006031CD"/>
    <w:rsid w:val="00610717"/>
    <w:rsid w:val="00611391"/>
    <w:rsid w:val="00611FB8"/>
    <w:rsid w:val="0061278C"/>
    <w:rsid w:val="00612B62"/>
    <w:rsid w:val="00612D79"/>
    <w:rsid w:val="00612F13"/>
    <w:rsid w:val="0061328C"/>
    <w:rsid w:val="006136FB"/>
    <w:rsid w:val="00617C63"/>
    <w:rsid w:val="00630B79"/>
    <w:rsid w:val="0063145F"/>
    <w:rsid w:val="006314EF"/>
    <w:rsid w:val="006317F7"/>
    <w:rsid w:val="006335D6"/>
    <w:rsid w:val="006335FB"/>
    <w:rsid w:val="006336F4"/>
    <w:rsid w:val="00634D86"/>
    <w:rsid w:val="006378E9"/>
    <w:rsid w:val="00640D88"/>
    <w:rsid w:val="00641C52"/>
    <w:rsid w:val="0064210F"/>
    <w:rsid w:val="00645DDB"/>
    <w:rsid w:val="006622D3"/>
    <w:rsid w:val="006636CE"/>
    <w:rsid w:val="00670171"/>
    <w:rsid w:val="00672675"/>
    <w:rsid w:val="00674D42"/>
    <w:rsid w:val="0068412D"/>
    <w:rsid w:val="006844C1"/>
    <w:rsid w:val="00684C0F"/>
    <w:rsid w:val="006910D7"/>
    <w:rsid w:val="006913A5"/>
    <w:rsid w:val="00694429"/>
    <w:rsid w:val="006A0991"/>
    <w:rsid w:val="006A40F5"/>
    <w:rsid w:val="006B2FDB"/>
    <w:rsid w:val="006B7686"/>
    <w:rsid w:val="006C1105"/>
    <w:rsid w:val="006C2199"/>
    <w:rsid w:val="006C221F"/>
    <w:rsid w:val="006C5DB6"/>
    <w:rsid w:val="006D3018"/>
    <w:rsid w:val="006D32A4"/>
    <w:rsid w:val="006D37F9"/>
    <w:rsid w:val="006E06C5"/>
    <w:rsid w:val="006E0E17"/>
    <w:rsid w:val="006E1D7A"/>
    <w:rsid w:val="006E4802"/>
    <w:rsid w:val="006E625C"/>
    <w:rsid w:val="006F4419"/>
    <w:rsid w:val="006F51C2"/>
    <w:rsid w:val="006F6D65"/>
    <w:rsid w:val="006F7C4E"/>
    <w:rsid w:val="00702F80"/>
    <w:rsid w:val="007037A0"/>
    <w:rsid w:val="00706B93"/>
    <w:rsid w:val="0071026E"/>
    <w:rsid w:val="00716C76"/>
    <w:rsid w:val="0072131C"/>
    <w:rsid w:val="0072164E"/>
    <w:rsid w:val="00722A8A"/>
    <w:rsid w:val="00724DC0"/>
    <w:rsid w:val="00726330"/>
    <w:rsid w:val="00727296"/>
    <w:rsid w:val="00730ABD"/>
    <w:rsid w:val="00731971"/>
    <w:rsid w:val="00733B9B"/>
    <w:rsid w:val="00733E80"/>
    <w:rsid w:val="00736CA6"/>
    <w:rsid w:val="0073782D"/>
    <w:rsid w:val="0074186A"/>
    <w:rsid w:val="00747C4D"/>
    <w:rsid w:val="007512C2"/>
    <w:rsid w:val="0075343D"/>
    <w:rsid w:val="007566A6"/>
    <w:rsid w:val="0076040D"/>
    <w:rsid w:val="007626A9"/>
    <w:rsid w:val="00770C4E"/>
    <w:rsid w:val="00771772"/>
    <w:rsid w:val="007718B2"/>
    <w:rsid w:val="00771C1C"/>
    <w:rsid w:val="00777117"/>
    <w:rsid w:val="007805A4"/>
    <w:rsid w:val="00782545"/>
    <w:rsid w:val="007853F0"/>
    <w:rsid w:val="00786749"/>
    <w:rsid w:val="00786F67"/>
    <w:rsid w:val="007940E9"/>
    <w:rsid w:val="00794CF8"/>
    <w:rsid w:val="00794EE5"/>
    <w:rsid w:val="0079573C"/>
    <w:rsid w:val="0079738C"/>
    <w:rsid w:val="007A502D"/>
    <w:rsid w:val="007A72B3"/>
    <w:rsid w:val="007B114F"/>
    <w:rsid w:val="007B34DD"/>
    <w:rsid w:val="007B5BC5"/>
    <w:rsid w:val="007C1348"/>
    <w:rsid w:val="007C1A94"/>
    <w:rsid w:val="007C2845"/>
    <w:rsid w:val="007C2914"/>
    <w:rsid w:val="007C3B2E"/>
    <w:rsid w:val="007C4E5A"/>
    <w:rsid w:val="007C601F"/>
    <w:rsid w:val="007D197C"/>
    <w:rsid w:val="007D236E"/>
    <w:rsid w:val="007D2809"/>
    <w:rsid w:val="007D4875"/>
    <w:rsid w:val="007D5FB9"/>
    <w:rsid w:val="007E0B67"/>
    <w:rsid w:val="007E1B7A"/>
    <w:rsid w:val="007E2A67"/>
    <w:rsid w:val="007E2D26"/>
    <w:rsid w:val="007E37CA"/>
    <w:rsid w:val="007E4CC4"/>
    <w:rsid w:val="007E507B"/>
    <w:rsid w:val="007E6B1B"/>
    <w:rsid w:val="007F33CB"/>
    <w:rsid w:val="007F4A0C"/>
    <w:rsid w:val="0080460B"/>
    <w:rsid w:val="00805CCD"/>
    <w:rsid w:val="0080756A"/>
    <w:rsid w:val="00807DDD"/>
    <w:rsid w:val="00811141"/>
    <w:rsid w:val="0081530B"/>
    <w:rsid w:val="00820BC3"/>
    <w:rsid w:val="00825C98"/>
    <w:rsid w:val="008261DB"/>
    <w:rsid w:val="008342FC"/>
    <w:rsid w:val="00835527"/>
    <w:rsid w:val="00835EC8"/>
    <w:rsid w:val="0084055A"/>
    <w:rsid w:val="0084643C"/>
    <w:rsid w:val="0086021B"/>
    <w:rsid w:val="0086175B"/>
    <w:rsid w:val="00865BA8"/>
    <w:rsid w:val="008749C0"/>
    <w:rsid w:val="00875EB1"/>
    <w:rsid w:val="00876CD4"/>
    <w:rsid w:val="00880362"/>
    <w:rsid w:val="008809B4"/>
    <w:rsid w:val="008817F0"/>
    <w:rsid w:val="00882A3E"/>
    <w:rsid w:val="00884693"/>
    <w:rsid w:val="0088704A"/>
    <w:rsid w:val="00891359"/>
    <w:rsid w:val="00895591"/>
    <w:rsid w:val="008A0D7B"/>
    <w:rsid w:val="008A0FD2"/>
    <w:rsid w:val="008A1F64"/>
    <w:rsid w:val="008B0415"/>
    <w:rsid w:val="008B2F30"/>
    <w:rsid w:val="008C0F64"/>
    <w:rsid w:val="008C4701"/>
    <w:rsid w:val="008C498C"/>
    <w:rsid w:val="008C553D"/>
    <w:rsid w:val="008E2AA3"/>
    <w:rsid w:val="008E5036"/>
    <w:rsid w:val="008E7A6F"/>
    <w:rsid w:val="008F0BBC"/>
    <w:rsid w:val="008F5746"/>
    <w:rsid w:val="008F6473"/>
    <w:rsid w:val="008F746F"/>
    <w:rsid w:val="00904AA7"/>
    <w:rsid w:val="00905CCB"/>
    <w:rsid w:val="009068A9"/>
    <w:rsid w:val="009107E2"/>
    <w:rsid w:val="00914D4F"/>
    <w:rsid w:val="00915637"/>
    <w:rsid w:val="00921B93"/>
    <w:rsid w:val="00922206"/>
    <w:rsid w:val="00925EA9"/>
    <w:rsid w:val="009326B5"/>
    <w:rsid w:val="0093282E"/>
    <w:rsid w:val="009338D4"/>
    <w:rsid w:val="00933C30"/>
    <w:rsid w:val="009360EA"/>
    <w:rsid w:val="00936A62"/>
    <w:rsid w:val="00940DEF"/>
    <w:rsid w:val="00945549"/>
    <w:rsid w:val="009525DE"/>
    <w:rsid w:val="0095377E"/>
    <w:rsid w:val="00957376"/>
    <w:rsid w:val="0096088E"/>
    <w:rsid w:val="00960AB3"/>
    <w:rsid w:val="00962581"/>
    <w:rsid w:val="0096707A"/>
    <w:rsid w:val="00971154"/>
    <w:rsid w:val="00973010"/>
    <w:rsid w:val="00973C71"/>
    <w:rsid w:val="00973D6F"/>
    <w:rsid w:val="00975547"/>
    <w:rsid w:val="0097584F"/>
    <w:rsid w:val="0097640C"/>
    <w:rsid w:val="0097738B"/>
    <w:rsid w:val="0097794C"/>
    <w:rsid w:val="009862B5"/>
    <w:rsid w:val="00987B82"/>
    <w:rsid w:val="00987F56"/>
    <w:rsid w:val="00990E58"/>
    <w:rsid w:val="00991BB2"/>
    <w:rsid w:val="00995CC5"/>
    <w:rsid w:val="009970E8"/>
    <w:rsid w:val="009A48F3"/>
    <w:rsid w:val="009A5716"/>
    <w:rsid w:val="009A6FE4"/>
    <w:rsid w:val="009A7F13"/>
    <w:rsid w:val="009B02DF"/>
    <w:rsid w:val="009B0686"/>
    <w:rsid w:val="009B0893"/>
    <w:rsid w:val="009B1E36"/>
    <w:rsid w:val="009B4A53"/>
    <w:rsid w:val="009C1248"/>
    <w:rsid w:val="009C2B0E"/>
    <w:rsid w:val="009C39E4"/>
    <w:rsid w:val="009C69AC"/>
    <w:rsid w:val="009D6D91"/>
    <w:rsid w:val="009D7089"/>
    <w:rsid w:val="009E014E"/>
    <w:rsid w:val="009E26CC"/>
    <w:rsid w:val="009E6A21"/>
    <w:rsid w:val="009F1447"/>
    <w:rsid w:val="009F1645"/>
    <w:rsid w:val="009F2E3F"/>
    <w:rsid w:val="009F414F"/>
    <w:rsid w:val="009F7C20"/>
    <w:rsid w:val="00A13396"/>
    <w:rsid w:val="00A149C2"/>
    <w:rsid w:val="00A2024C"/>
    <w:rsid w:val="00A21E7A"/>
    <w:rsid w:val="00A24FA2"/>
    <w:rsid w:val="00A300CC"/>
    <w:rsid w:val="00A33A31"/>
    <w:rsid w:val="00A33C4C"/>
    <w:rsid w:val="00A34219"/>
    <w:rsid w:val="00A35AA7"/>
    <w:rsid w:val="00A37E88"/>
    <w:rsid w:val="00A453E0"/>
    <w:rsid w:val="00A46979"/>
    <w:rsid w:val="00A541CE"/>
    <w:rsid w:val="00A653DC"/>
    <w:rsid w:val="00A67AA3"/>
    <w:rsid w:val="00A70617"/>
    <w:rsid w:val="00A708CE"/>
    <w:rsid w:val="00A73C8B"/>
    <w:rsid w:val="00A747AC"/>
    <w:rsid w:val="00A74DBC"/>
    <w:rsid w:val="00A80748"/>
    <w:rsid w:val="00A808A2"/>
    <w:rsid w:val="00A843CF"/>
    <w:rsid w:val="00A852C1"/>
    <w:rsid w:val="00A86FE1"/>
    <w:rsid w:val="00A87FB2"/>
    <w:rsid w:val="00A91BD3"/>
    <w:rsid w:val="00A93177"/>
    <w:rsid w:val="00A93B49"/>
    <w:rsid w:val="00A9584E"/>
    <w:rsid w:val="00A96323"/>
    <w:rsid w:val="00AA091A"/>
    <w:rsid w:val="00AA17DE"/>
    <w:rsid w:val="00AA1AF7"/>
    <w:rsid w:val="00AA1C04"/>
    <w:rsid w:val="00AA4ABC"/>
    <w:rsid w:val="00AA654A"/>
    <w:rsid w:val="00AA69F5"/>
    <w:rsid w:val="00AA7AE2"/>
    <w:rsid w:val="00AB1E52"/>
    <w:rsid w:val="00AB3838"/>
    <w:rsid w:val="00AB6563"/>
    <w:rsid w:val="00AC0378"/>
    <w:rsid w:val="00AC0790"/>
    <w:rsid w:val="00AC1A96"/>
    <w:rsid w:val="00AC1B58"/>
    <w:rsid w:val="00AC21EC"/>
    <w:rsid w:val="00AC3D33"/>
    <w:rsid w:val="00AC7BA8"/>
    <w:rsid w:val="00AD061B"/>
    <w:rsid w:val="00AD1599"/>
    <w:rsid w:val="00AD348B"/>
    <w:rsid w:val="00AD6B9C"/>
    <w:rsid w:val="00AE245F"/>
    <w:rsid w:val="00AE43AD"/>
    <w:rsid w:val="00AF048C"/>
    <w:rsid w:val="00AF1502"/>
    <w:rsid w:val="00AF2FA0"/>
    <w:rsid w:val="00AF6B4F"/>
    <w:rsid w:val="00AF6F31"/>
    <w:rsid w:val="00B02525"/>
    <w:rsid w:val="00B028BB"/>
    <w:rsid w:val="00B06B3D"/>
    <w:rsid w:val="00B10F1F"/>
    <w:rsid w:val="00B11732"/>
    <w:rsid w:val="00B11A87"/>
    <w:rsid w:val="00B12A20"/>
    <w:rsid w:val="00B217AF"/>
    <w:rsid w:val="00B22755"/>
    <w:rsid w:val="00B22B09"/>
    <w:rsid w:val="00B23817"/>
    <w:rsid w:val="00B3071F"/>
    <w:rsid w:val="00B30829"/>
    <w:rsid w:val="00B30A7F"/>
    <w:rsid w:val="00B32C25"/>
    <w:rsid w:val="00B44808"/>
    <w:rsid w:val="00B47412"/>
    <w:rsid w:val="00B51750"/>
    <w:rsid w:val="00B524F1"/>
    <w:rsid w:val="00B56255"/>
    <w:rsid w:val="00B653B4"/>
    <w:rsid w:val="00B657E1"/>
    <w:rsid w:val="00B67516"/>
    <w:rsid w:val="00B701C6"/>
    <w:rsid w:val="00B70DAF"/>
    <w:rsid w:val="00B76121"/>
    <w:rsid w:val="00B81471"/>
    <w:rsid w:val="00B83897"/>
    <w:rsid w:val="00B859CD"/>
    <w:rsid w:val="00B87031"/>
    <w:rsid w:val="00B938CA"/>
    <w:rsid w:val="00B93C08"/>
    <w:rsid w:val="00B94431"/>
    <w:rsid w:val="00BA3457"/>
    <w:rsid w:val="00BA4363"/>
    <w:rsid w:val="00BA4EFE"/>
    <w:rsid w:val="00BA5FC3"/>
    <w:rsid w:val="00BA63FC"/>
    <w:rsid w:val="00BA6E7B"/>
    <w:rsid w:val="00BB1987"/>
    <w:rsid w:val="00BB3A1A"/>
    <w:rsid w:val="00BC1BFB"/>
    <w:rsid w:val="00BC32F4"/>
    <w:rsid w:val="00BC52B3"/>
    <w:rsid w:val="00BC6FA6"/>
    <w:rsid w:val="00BD0DC5"/>
    <w:rsid w:val="00BD2FBD"/>
    <w:rsid w:val="00BD4221"/>
    <w:rsid w:val="00BD45FD"/>
    <w:rsid w:val="00BD62AE"/>
    <w:rsid w:val="00BE06B1"/>
    <w:rsid w:val="00BE2E9B"/>
    <w:rsid w:val="00BE4D9F"/>
    <w:rsid w:val="00BE713B"/>
    <w:rsid w:val="00BE7361"/>
    <w:rsid w:val="00BF0783"/>
    <w:rsid w:val="00BF07D4"/>
    <w:rsid w:val="00BF3397"/>
    <w:rsid w:val="00BF659A"/>
    <w:rsid w:val="00BF6D4D"/>
    <w:rsid w:val="00C00081"/>
    <w:rsid w:val="00C013D1"/>
    <w:rsid w:val="00C10862"/>
    <w:rsid w:val="00C16869"/>
    <w:rsid w:val="00C2149B"/>
    <w:rsid w:val="00C21EAB"/>
    <w:rsid w:val="00C263F5"/>
    <w:rsid w:val="00C3229B"/>
    <w:rsid w:val="00C33768"/>
    <w:rsid w:val="00C46744"/>
    <w:rsid w:val="00C50089"/>
    <w:rsid w:val="00C5039B"/>
    <w:rsid w:val="00C56A7F"/>
    <w:rsid w:val="00C60C9A"/>
    <w:rsid w:val="00C61573"/>
    <w:rsid w:val="00C628D7"/>
    <w:rsid w:val="00C63F5F"/>
    <w:rsid w:val="00C65FBA"/>
    <w:rsid w:val="00C67794"/>
    <w:rsid w:val="00C67F66"/>
    <w:rsid w:val="00C70D38"/>
    <w:rsid w:val="00C754A6"/>
    <w:rsid w:val="00C7745C"/>
    <w:rsid w:val="00C83542"/>
    <w:rsid w:val="00C86267"/>
    <w:rsid w:val="00C872ED"/>
    <w:rsid w:val="00C9230E"/>
    <w:rsid w:val="00C93C17"/>
    <w:rsid w:val="00CA0072"/>
    <w:rsid w:val="00CA0F2C"/>
    <w:rsid w:val="00CA1411"/>
    <w:rsid w:val="00CA79F7"/>
    <w:rsid w:val="00CB1F42"/>
    <w:rsid w:val="00CB4740"/>
    <w:rsid w:val="00CC1A73"/>
    <w:rsid w:val="00CC3D7A"/>
    <w:rsid w:val="00CC48D0"/>
    <w:rsid w:val="00CC7933"/>
    <w:rsid w:val="00CD491C"/>
    <w:rsid w:val="00CD7387"/>
    <w:rsid w:val="00CE3790"/>
    <w:rsid w:val="00CE3E18"/>
    <w:rsid w:val="00CE3E76"/>
    <w:rsid w:val="00CE6B88"/>
    <w:rsid w:val="00CE79BA"/>
    <w:rsid w:val="00CE7A2A"/>
    <w:rsid w:val="00CF1015"/>
    <w:rsid w:val="00CF1510"/>
    <w:rsid w:val="00CF1EFE"/>
    <w:rsid w:val="00CF2F43"/>
    <w:rsid w:val="00CF3D62"/>
    <w:rsid w:val="00D026BF"/>
    <w:rsid w:val="00D02B6C"/>
    <w:rsid w:val="00D03109"/>
    <w:rsid w:val="00D04F3C"/>
    <w:rsid w:val="00D07B01"/>
    <w:rsid w:val="00D07E1B"/>
    <w:rsid w:val="00D12172"/>
    <w:rsid w:val="00D15567"/>
    <w:rsid w:val="00D221C9"/>
    <w:rsid w:val="00D27791"/>
    <w:rsid w:val="00D32130"/>
    <w:rsid w:val="00D32AF6"/>
    <w:rsid w:val="00D32C32"/>
    <w:rsid w:val="00D3368F"/>
    <w:rsid w:val="00D35DD6"/>
    <w:rsid w:val="00D44176"/>
    <w:rsid w:val="00D452FB"/>
    <w:rsid w:val="00D4590B"/>
    <w:rsid w:val="00D47307"/>
    <w:rsid w:val="00D52F13"/>
    <w:rsid w:val="00D53B36"/>
    <w:rsid w:val="00D6300A"/>
    <w:rsid w:val="00D66A8D"/>
    <w:rsid w:val="00D72A37"/>
    <w:rsid w:val="00D7655B"/>
    <w:rsid w:val="00D7736E"/>
    <w:rsid w:val="00D7770E"/>
    <w:rsid w:val="00D80573"/>
    <w:rsid w:val="00D81E5A"/>
    <w:rsid w:val="00D846B1"/>
    <w:rsid w:val="00D86354"/>
    <w:rsid w:val="00D86628"/>
    <w:rsid w:val="00D90505"/>
    <w:rsid w:val="00D92617"/>
    <w:rsid w:val="00D92C7B"/>
    <w:rsid w:val="00D93EDC"/>
    <w:rsid w:val="00D94F51"/>
    <w:rsid w:val="00DA00C8"/>
    <w:rsid w:val="00DA3649"/>
    <w:rsid w:val="00DA365B"/>
    <w:rsid w:val="00DA5254"/>
    <w:rsid w:val="00DA56FE"/>
    <w:rsid w:val="00DA6284"/>
    <w:rsid w:val="00DB6C6F"/>
    <w:rsid w:val="00DC069F"/>
    <w:rsid w:val="00DC081A"/>
    <w:rsid w:val="00DC43A1"/>
    <w:rsid w:val="00DD3666"/>
    <w:rsid w:val="00DE0FE7"/>
    <w:rsid w:val="00DE1C07"/>
    <w:rsid w:val="00DE1E1B"/>
    <w:rsid w:val="00DE52DC"/>
    <w:rsid w:val="00DE5693"/>
    <w:rsid w:val="00DF0384"/>
    <w:rsid w:val="00DF79D0"/>
    <w:rsid w:val="00E001FC"/>
    <w:rsid w:val="00E01B65"/>
    <w:rsid w:val="00E06659"/>
    <w:rsid w:val="00E077C9"/>
    <w:rsid w:val="00E14844"/>
    <w:rsid w:val="00E159FC"/>
    <w:rsid w:val="00E22752"/>
    <w:rsid w:val="00E23B6F"/>
    <w:rsid w:val="00E26AD3"/>
    <w:rsid w:val="00E276CA"/>
    <w:rsid w:val="00E3333F"/>
    <w:rsid w:val="00E33E58"/>
    <w:rsid w:val="00E34A16"/>
    <w:rsid w:val="00E34B79"/>
    <w:rsid w:val="00E351D6"/>
    <w:rsid w:val="00E37935"/>
    <w:rsid w:val="00E4360E"/>
    <w:rsid w:val="00E56AC9"/>
    <w:rsid w:val="00E57024"/>
    <w:rsid w:val="00E57309"/>
    <w:rsid w:val="00E624F0"/>
    <w:rsid w:val="00E627EC"/>
    <w:rsid w:val="00E74081"/>
    <w:rsid w:val="00E76E39"/>
    <w:rsid w:val="00E8038A"/>
    <w:rsid w:val="00E84860"/>
    <w:rsid w:val="00E8489D"/>
    <w:rsid w:val="00E85186"/>
    <w:rsid w:val="00E852AB"/>
    <w:rsid w:val="00E91B46"/>
    <w:rsid w:val="00E95C9F"/>
    <w:rsid w:val="00EB0758"/>
    <w:rsid w:val="00EB5F58"/>
    <w:rsid w:val="00EB6160"/>
    <w:rsid w:val="00EC1405"/>
    <w:rsid w:val="00EC4142"/>
    <w:rsid w:val="00EC5355"/>
    <w:rsid w:val="00EC5764"/>
    <w:rsid w:val="00EC7AA9"/>
    <w:rsid w:val="00ED0B28"/>
    <w:rsid w:val="00ED1299"/>
    <w:rsid w:val="00ED2635"/>
    <w:rsid w:val="00ED3839"/>
    <w:rsid w:val="00ED7B72"/>
    <w:rsid w:val="00ED7BE4"/>
    <w:rsid w:val="00EE14D9"/>
    <w:rsid w:val="00EE2EAB"/>
    <w:rsid w:val="00EE33EE"/>
    <w:rsid w:val="00EF1792"/>
    <w:rsid w:val="00EF5891"/>
    <w:rsid w:val="00EF6262"/>
    <w:rsid w:val="00EF7A72"/>
    <w:rsid w:val="00F0631F"/>
    <w:rsid w:val="00F111D8"/>
    <w:rsid w:val="00F205A1"/>
    <w:rsid w:val="00F2080A"/>
    <w:rsid w:val="00F2683C"/>
    <w:rsid w:val="00F317B6"/>
    <w:rsid w:val="00F32154"/>
    <w:rsid w:val="00F32DD2"/>
    <w:rsid w:val="00F345C2"/>
    <w:rsid w:val="00F34898"/>
    <w:rsid w:val="00F35D41"/>
    <w:rsid w:val="00F35FC7"/>
    <w:rsid w:val="00F36B0A"/>
    <w:rsid w:val="00F40EAA"/>
    <w:rsid w:val="00F43A65"/>
    <w:rsid w:val="00F50D43"/>
    <w:rsid w:val="00F55450"/>
    <w:rsid w:val="00F565FF"/>
    <w:rsid w:val="00F5713E"/>
    <w:rsid w:val="00F62CDD"/>
    <w:rsid w:val="00F658DC"/>
    <w:rsid w:val="00F65CAB"/>
    <w:rsid w:val="00F75E9A"/>
    <w:rsid w:val="00F83768"/>
    <w:rsid w:val="00F8383E"/>
    <w:rsid w:val="00F83E66"/>
    <w:rsid w:val="00F86A17"/>
    <w:rsid w:val="00F8771F"/>
    <w:rsid w:val="00F91886"/>
    <w:rsid w:val="00F9430C"/>
    <w:rsid w:val="00FB2871"/>
    <w:rsid w:val="00FB4232"/>
    <w:rsid w:val="00FC1041"/>
    <w:rsid w:val="00FC3E5F"/>
    <w:rsid w:val="00FC630A"/>
    <w:rsid w:val="00FC722B"/>
    <w:rsid w:val="00FC744E"/>
    <w:rsid w:val="00FC7467"/>
    <w:rsid w:val="00FC7766"/>
    <w:rsid w:val="00FE01D5"/>
    <w:rsid w:val="00FE3000"/>
    <w:rsid w:val="00FE5B54"/>
    <w:rsid w:val="00FF03C6"/>
    <w:rsid w:val="00FF0502"/>
    <w:rsid w:val="00FF483A"/>
    <w:rsid w:val="00FF552F"/>
    <w:rsid w:val="00FF6AEE"/>
    <w:rsid w:val="00FF73C1"/>
    <w:rsid w:val="00FF7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4F5D3DA-BBD5-4592-A46F-12D0CDF24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502"/>
  </w:style>
  <w:style w:type="paragraph" w:styleId="Titre1">
    <w:name w:val="heading 1"/>
    <w:basedOn w:val="Normal"/>
    <w:next w:val="Normal"/>
    <w:qFormat/>
    <w:rsid w:val="00187752"/>
    <w:pPr>
      <w:keepNext/>
      <w:tabs>
        <w:tab w:val="right" w:pos="9072"/>
      </w:tabs>
      <w:jc w:val="center"/>
      <w:outlineLvl w:val="0"/>
    </w:pPr>
    <w:rPr>
      <w:rFonts w:ascii="Arial" w:hAnsi="Arial" w:cs="Arial"/>
      <w:b/>
      <w:bCs/>
      <w:spacing w:val="30"/>
      <w:sz w:val="48"/>
      <w:szCs w:val="48"/>
    </w:rPr>
  </w:style>
  <w:style w:type="paragraph" w:styleId="Titre2">
    <w:name w:val="heading 2"/>
    <w:basedOn w:val="Normal"/>
    <w:next w:val="Normal"/>
    <w:qFormat/>
    <w:rsid w:val="00187752"/>
    <w:pPr>
      <w:keepNext/>
      <w:outlineLvl w:val="1"/>
    </w:pPr>
    <w:rPr>
      <w:rFonts w:ascii="Arial" w:hAnsi="Arial" w:cs="Arial"/>
      <w:sz w:val="44"/>
      <w:szCs w:val="44"/>
    </w:rPr>
  </w:style>
  <w:style w:type="paragraph" w:styleId="Titre3">
    <w:name w:val="heading 3"/>
    <w:aliases w:val="Stat Titre 1"/>
    <w:basedOn w:val="Normal"/>
    <w:next w:val="Normal"/>
    <w:qFormat/>
    <w:rsid w:val="0073782D"/>
    <w:pPr>
      <w:keepNext/>
      <w:spacing w:before="100" w:beforeAutospacing="1" w:line="168" w:lineRule="auto"/>
      <w:ind w:left="113"/>
      <w:outlineLvl w:val="2"/>
    </w:pPr>
    <w:rPr>
      <w:rFonts w:ascii="Arial Black" w:hAnsi="Arial Black"/>
      <w:iCs/>
      <w:color w:val="547889"/>
      <w:sz w:val="28"/>
      <w:szCs w:val="28"/>
    </w:rPr>
  </w:style>
  <w:style w:type="paragraph" w:styleId="Titre4">
    <w:name w:val="heading 4"/>
    <w:basedOn w:val="Normal"/>
    <w:next w:val="Normal"/>
    <w:link w:val="Titre4Car"/>
    <w:unhideWhenUsed/>
    <w:qFormat/>
    <w:rsid w:val="00CE3E76"/>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qFormat/>
    <w:rsid w:val="00CE3E76"/>
    <w:pPr>
      <w:spacing w:before="240" w:after="120"/>
      <w:ind w:left="284" w:hanging="284"/>
      <w:outlineLvl w:val="4"/>
    </w:pPr>
    <w:rPr>
      <w:b/>
      <w:bCs/>
      <w:i/>
      <w:iCs/>
      <w:sz w:val="22"/>
      <w:szCs w:val="22"/>
    </w:rPr>
  </w:style>
  <w:style w:type="paragraph" w:styleId="Titre6">
    <w:name w:val="heading 6"/>
    <w:basedOn w:val="Normal"/>
    <w:next w:val="Normal"/>
    <w:link w:val="Titre6Car"/>
    <w:qFormat/>
    <w:rsid w:val="00CE3E76"/>
    <w:pPr>
      <w:keepNext/>
      <w:outlineLvl w:val="5"/>
    </w:pPr>
    <w:rPr>
      <w:rFonts w:ascii="Arial Black" w:hAnsi="Arial Black"/>
      <w:i/>
      <w:iCs/>
      <w:sz w:val="32"/>
      <w:szCs w:val="32"/>
    </w:rPr>
  </w:style>
  <w:style w:type="paragraph" w:styleId="Titre7">
    <w:name w:val="heading 7"/>
    <w:basedOn w:val="Normal"/>
    <w:next w:val="Normal"/>
    <w:link w:val="Titre7Car"/>
    <w:qFormat/>
    <w:rsid w:val="00CE3E76"/>
    <w:pPr>
      <w:keepNext/>
      <w:jc w:val="center"/>
      <w:outlineLvl w:val="6"/>
    </w:pPr>
    <w:rPr>
      <w:rFonts w:ascii="Arial" w:hAnsi="Arial" w:cs="Arial"/>
      <w:b/>
      <w:bCs/>
      <w:spacing w:val="-2"/>
      <w:sz w:val="16"/>
      <w:szCs w:val="16"/>
      <w:lang w:val="en-US"/>
    </w:rPr>
  </w:style>
  <w:style w:type="paragraph" w:styleId="Titre8">
    <w:name w:val="heading 8"/>
    <w:basedOn w:val="Normal"/>
    <w:next w:val="Normal"/>
    <w:link w:val="Titre8Car"/>
    <w:qFormat/>
    <w:rsid w:val="00CE3E76"/>
    <w:pPr>
      <w:keepNext/>
      <w:spacing w:before="144"/>
      <w:ind w:left="60"/>
      <w:outlineLvl w:val="7"/>
    </w:pPr>
    <w:rPr>
      <w:rFonts w:ascii="Arial" w:hAnsi="Arial" w:cs="Arial"/>
      <w:b/>
      <w:bCs/>
      <w:spacing w:val="-4"/>
      <w:sz w:val="18"/>
      <w:szCs w:val="18"/>
    </w:rPr>
  </w:style>
  <w:style w:type="paragraph" w:styleId="Titre9">
    <w:name w:val="heading 9"/>
    <w:basedOn w:val="Normal"/>
    <w:next w:val="Normal"/>
    <w:link w:val="Titre9Car"/>
    <w:unhideWhenUsed/>
    <w:qFormat/>
    <w:rsid w:val="00CE3E76"/>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187752"/>
    <w:pPr>
      <w:tabs>
        <w:tab w:val="center" w:pos="4536"/>
        <w:tab w:val="right" w:pos="9072"/>
      </w:tabs>
    </w:pPr>
  </w:style>
  <w:style w:type="paragraph" w:styleId="Pieddepage">
    <w:name w:val="footer"/>
    <w:basedOn w:val="Normal"/>
    <w:link w:val="PieddepageCar"/>
    <w:rsid w:val="00187752"/>
    <w:pPr>
      <w:tabs>
        <w:tab w:val="center" w:pos="4536"/>
        <w:tab w:val="right" w:pos="9072"/>
      </w:tabs>
    </w:pPr>
  </w:style>
  <w:style w:type="paragraph" w:customStyle="1" w:styleId="TitreNote">
    <w:name w:val="Titre Note"/>
    <w:basedOn w:val="Normal"/>
    <w:next w:val="Normal"/>
    <w:rsid w:val="00187752"/>
    <w:pPr>
      <w:keepNext/>
      <w:keepLines/>
      <w:spacing w:before="240" w:after="240"/>
      <w:jc w:val="center"/>
    </w:pPr>
    <w:rPr>
      <w:rFonts w:ascii="Arial" w:hAnsi="Arial" w:cs="Arial"/>
      <w:b/>
      <w:bCs/>
      <w:spacing w:val="10"/>
      <w:kern w:val="28"/>
      <w:sz w:val="30"/>
      <w:szCs w:val="30"/>
    </w:rPr>
  </w:style>
  <w:style w:type="paragraph" w:customStyle="1" w:styleId="GraphUnitmesure">
    <w:name w:val="Graph Unité mesure"/>
    <w:basedOn w:val="Normal"/>
    <w:next w:val="Normal"/>
    <w:rsid w:val="00187752"/>
    <w:rPr>
      <w:rFonts w:ascii="Arial" w:hAnsi="Arial" w:cs="Arial"/>
      <w:sz w:val="16"/>
      <w:szCs w:val="16"/>
    </w:rPr>
  </w:style>
  <w:style w:type="paragraph" w:customStyle="1" w:styleId="TabUnitmesure">
    <w:name w:val="Tab Unité mesure"/>
    <w:basedOn w:val="Normal"/>
    <w:next w:val="Normal"/>
    <w:rsid w:val="00187752"/>
    <w:pPr>
      <w:tabs>
        <w:tab w:val="right" w:pos="8222"/>
      </w:tabs>
      <w:jc w:val="right"/>
    </w:pPr>
    <w:rPr>
      <w:rFonts w:ascii="Arial" w:hAnsi="Arial" w:cs="Arial"/>
      <w:i/>
      <w:iCs/>
      <w:sz w:val="16"/>
      <w:szCs w:val="16"/>
    </w:rPr>
  </w:style>
  <w:style w:type="paragraph" w:customStyle="1" w:styleId="TabSource">
    <w:name w:val="Tab Source"/>
    <w:basedOn w:val="Normal"/>
    <w:next w:val="Normal"/>
    <w:rsid w:val="00187752"/>
    <w:pPr>
      <w:tabs>
        <w:tab w:val="right" w:pos="8222"/>
      </w:tabs>
      <w:spacing w:before="120"/>
    </w:pPr>
    <w:rPr>
      <w:rFonts w:ascii="Arial" w:hAnsi="Arial" w:cs="Arial"/>
      <w:sz w:val="16"/>
      <w:szCs w:val="16"/>
    </w:rPr>
  </w:style>
  <w:style w:type="paragraph" w:customStyle="1" w:styleId="Tableau">
    <w:name w:val="Tableau"/>
    <w:basedOn w:val="Normal"/>
    <w:next w:val="Normal"/>
    <w:rsid w:val="00187752"/>
    <w:pPr>
      <w:jc w:val="center"/>
    </w:pPr>
    <w:rPr>
      <w:noProof/>
    </w:rPr>
  </w:style>
  <w:style w:type="paragraph" w:styleId="Corpsdetexte2">
    <w:name w:val="Body Text 2"/>
    <w:basedOn w:val="Normal"/>
    <w:rsid w:val="00187752"/>
    <w:pPr>
      <w:jc w:val="both"/>
    </w:pPr>
  </w:style>
  <w:style w:type="paragraph" w:customStyle="1" w:styleId="GraphTitre">
    <w:name w:val="Graph Titre"/>
    <w:basedOn w:val="Normal"/>
    <w:next w:val="Normal"/>
    <w:rsid w:val="00187752"/>
    <w:rPr>
      <w:rFonts w:ascii="Arial" w:hAnsi="Arial" w:cs="Arial"/>
      <w:b/>
      <w:bCs/>
    </w:rPr>
  </w:style>
  <w:style w:type="paragraph" w:customStyle="1" w:styleId="GraphSource">
    <w:name w:val="Graph Source"/>
    <w:basedOn w:val="Normal"/>
    <w:next w:val="Normal"/>
    <w:rsid w:val="00187752"/>
    <w:pPr>
      <w:tabs>
        <w:tab w:val="right" w:pos="8222"/>
      </w:tabs>
    </w:pPr>
    <w:rPr>
      <w:rFonts w:ascii="Arial" w:hAnsi="Arial" w:cs="Arial"/>
      <w:sz w:val="16"/>
      <w:szCs w:val="16"/>
    </w:rPr>
  </w:style>
  <w:style w:type="paragraph" w:customStyle="1" w:styleId="TabTitre">
    <w:name w:val="Tab Titre"/>
    <w:basedOn w:val="Normal"/>
    <w:next w:val="TabUnitmesure"/>
    <w:rsid w:val="00187752"/>
    <w:rPr>
      <w:rFonts w:ascii="Arial" w:hAnsi="Arial" w:cs="Arial"/>
      <w:b/>
      <w:bCs/>
    </w:rPr>
  </w:style>
  <w:style w:type="character" w:styleId="Numrodepage">
    <w:name w:val="page number"/>
    <w:basedOn w:val="Policepardfaut"/>
    <w:rsid w:val="00187752"/>
  </w:style>
  <w:style w:type="paragraph" w:customStyle="1" w:styleId="TabRenvois">
    <w:name w:val="Tab Renvois"/>
    <w:basedOn w:val="Normal"/>
    <w:next w:val="TabSource"/>
    <w:rsid w:val="00187752"/>
    <w:pPr>
      <w:spacing w:before="40"/>
      <w:jc w:val="both"/>
    </w:pPr>
    <w:rPr>
      <w:rFonts w:ascii="Arial" w:hAnsi="Arial" w:cs="Arial"/>
      <w:sz w:val="16"/>
      <w:szCs w:val="16"/>
    </w:rPr>
  </w:style>
  <w:style w:type="paragraph" w:styleId="Normalcentr">
    <w:name w:val="Block Text"/>
    <w:basedOn w:val="Normal"/>
    <w:rsid w:val="00187752"/>
    <w:pPr>
      <w:tabs>
        <w:tab w:val="left" w:pos="567"/>
      </w:tabs>
      <w:spacing w:before="40"/>
      <w:ind w:left="198" w:right="567" w:hanging="198"/>
      <w:jc w:val="both"/>
    </w:pPr>
    <w:rPr>
      <w:rFonts w:ascii="Arial" w:hAnsi="Arial" w:cs="Arial"/>
      <w:i/>
      <w:iCs/>
      <w:sz w:val="16"/>
      <w:szCs w:val="16"/>
    </w:rPr>
  </w:style>
  <w:style w:type="paragraph" w:customStyle="1" w:styleId="question">
    <w:name w:val="question"/>
    <w:basedOn w:val="Normal"/>
    <w:autoRedefine/>
    <w:rsid w:val="00187752"/>
    <w:pPr>
      <w:jc w:val="both"/>
    </w:pPr>
    <w:rPr>
      <w:rFonts w:ascii="Arial" w:hAnsi="Arial" w:cs="Arial"/>
      <w:i/>
      <w:iCs/>
      <w:sz w:val="16"/>
      <w:szCs w:val="16"/>
    </w:rPr>
  </w:style>
  <w:style w:type="paragraph" w:styleId="Notedebasdepage">
    <w:name w:val="footnote text"/>
    <w:basedOn w:val="Normal"/>
    <w:semiHidden/>
    <w:rsid w:val="00187752"/>
  </w:style>
  <w:style w:type="character" w:styleId="Appelnotedebasdep">
    <w:name w:val="footnote reference"/>
    <w:basedOn w:val="Policepardfaut"/>
    <w:uiPriority w:val="99"/>
    <w:semiHidden/>
    <w:rsid w:val="00187752"/>
    <w:rPr>
      <w:vertAlign w:val="superscript"/>
    </w:rPr>
  </w:style>
  <w:style w:type="paragraph" w:styleId="Corpsdetexte">
    <w:name w:val="Body Text"/>
    <w:basedOn w:val="Normal"/>
    <w:link w:val="CorpsdetexteCar"/>
    <w:rsid w:val="00187752"/>
    <w:pPr>
      <w:jc w:val="both"/>
    </w:pPr>
    <w:rPr>
      <w:sz w:val="22"/>
      <w:szCs w:val="22"/>
    </w:rPr>
  </w:style>
  <w:style w:type="paragraph" w:styleId="Textedebulles">
    <w:name w:val="Balloon Text"/>
    <w:basedOn w:val="Normal"/>
    <w:semiHidden/>
    <w:rsid w:val="00187752"/>
    <w:rPr>
      <w:rFonts w:ascii="Tahoma" w:hAnsi="Tahoma" w:cs="Tahoma"/>
      <w:sz w:val="16"/>
      <w:szCs w:val="16"/>
    </w:rPr>
  </w:style>
  <w:style w:type="paragraph" w:styleId="Rvision">
    <w:name w:val="Revision"/>
    <w:hidden/>
    <w:uiPriority w:val="99"/>
    <w:semiHidden/>
    <w:rsid w:val="00187752"/>
  </w:style>
  <w:style w:type="character" w:styleId="Accentuation">
    <w:name w:val="Emphasis"/>
    <w:basedOn w:val="Policepardfaut"/>
    <w:qFormat/>
    <w:rsid w:val="00187752"/>
    <w:rPr>
      <w:i/>
      <w:iCs/>
    </w:rPr>
  </w:style>
  <w:style w:type="character" w:styleId="Marquedecommentaire">
    <w:name w:val="annotation reference"/>
    <w:basedOn w:val="Policepardfaut"/>
    <w:semiHidden/>
    <w:rsid w:val="00187752"/>
    <w:rPr>
      <w:sz w:val="16"/>
      <w:szCs w:val="16"/>
    </w:rPr>
  </w:style>
  <w:style w:type="paragraph" w:styleId="Commentaire">
    <w:name w:val="annotation text"/>
    <w:basedOn w:val="Normal"/>
    <w:semiHidden/>
    <w:rsid w:val="00187752"/>
  </w:style>
  <w:style w:type="paragraph" w:styleId="Objetducommentaire">
    <w:name w:val="annotation subject"/>
    <w:basedOn w:val="Commentaire"/>
    <w:next w:val="Commentaire"/>
    <w:semiHidden/>
    <w:rsid w:val="00187752"/>
    <w:rPr>
      <w:b/>
      <w:bCs/>
    </w:rPr>
  </w:style>
  <w:style w:type="paragraph" w:styleId="Paragraphedeliste">
    <w:name w:val="List Paragraph"/>
    <w:basedOn w:val="Normal"/>
    <w:uiPriority w:val="34"/>
    <w:qFormat/>
    <w:rsid w:val="00123192"/>
    <w:pPr>
      <w:ind w:left="720"/>
      <w:contextualSpacing/>
    </w:pPr>
  </w:style>
  <w:style w:type="paragraph" w:customStyle="1" w:styleId="STATTitre1">
    <w:name w:val="STAT Titre 1"/>
    <w:basedOn w:val="Titre3"/>
    <w:qFormat/>
    <w:rsid w:val="007A502D"/>
    <w:pPr>
      <w:ind w:left="0" w:right="567"/>
    </w:pPr>
  </w:style>
  <w:style w:type="paragraph" w:customStyle="1" w:styleId="STATDate">
    <w:name w:val="STAT Date"/>
    <w:autoRedefine/>
    <w:qFormat/>
    <w:rsid w:val="00CE3E76"/>
    <w:pPr>
      <w:jc w:val="both"/>
    </w:pPr>
    <w:rPr>
      <w:rFonts w:ascii="Arial" w:hAnsi="Arial" w:cs="Arial"/>
      <w:i/>
    </w:rPr>
  </w:style>
  <w:style w:type="paragraph" w:customStyle="1" w:styleId="STATTitre2">
    <w:name w:val="STAT Titre 2"/>
    <w:basedOn w:val="Normal"/>
    <w:qFormat/>
    <w:rsid w:val="00A96323"/>
    <w:pPr>
      <w:spacing w:before="480"/>
      <w:jc w:val="both"/>
    </w:pPr>
    <w:rPr>
      <w:rFonts w:ascii="Arial Black" w:hAnsi="Arial Black"/>
      <w:b/>
      <w:color w:val="547889"/>
      <w:spacing w:val="-4"/>
      <w:w w:val="90"/>
      <w:sz w:val="22"/>
      <w:szCs w:val="22"/>
    </w:rPr>
  </w:style>
  <w:style w:type="paragraph" w:customStyle="1" w:styleId="STATTexteCourant">
    <w:name w:val="STAT Texte Courant"/>
    <w:basedOn w:val="Normal"/>
    <w:qFormat/>
    <w:rsid w:val="00412708"/>
    <w:pPr>
      <w:autoSpaceDE w:val="0"/>
      <w:autoSpaceDN w:val="0"/>
      <w:adjustRightInd w:val="0"/>
      <w:spacing w:before="120"/>
      <w:ind w:left="34"/>
      <w:jc w:val="both"/>
    </w:pPr>
    <w:rPr>
      <w:rFonts w:ascii="Arial" w:hAnsi="Arial" w:cs="Arial"/>
      <w:iCs/>
    </w:rPr>
  </w:style>
  <w:style w:type="paragraph" w:customStyle="1" w:styleId="STATTextelistepuce">
    <w:name w:val="STAT Texte liste à puce"/>
    <w:basedOn w:val="Paragraphedeliste"/>
    <w:qFormat/>
    <w:rsid w:val="00E56AC9"/>
    <w:pPr>
      <w:numPr>
        <w:numId w:val="1"/>
      </w:numPr>
      <w:ind w:left="317" w:hanging="317"/>
      <w:jc w:val="both"/>
    </w:pPr>
    <w:rPr>
      <w:rFonts w:ascii="Arial" w:hAnsi="Arial" w:cs="Arial"/>
      <w:iCs/>
    </w:rPr>
  </w:style>
  <w:style w:type="table" w:styleId="Grilledutableau">
    <w:name w:val="Table Grid"/>
    <w:basedOn w:val="TableauNormal"/>
    <w:rsid w:val="004865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Noteetsource">
    <w:name w:val="STAT Note et source"/>
    <w:basedOn w:val="STATTitre1"/>
    <w:qFormat/>
    <w:rsid w:val="00DA00C8"/>
    <w:pPr>
      <w:spacing w:before="60" w:beforeAutospacing="0" w:after="60" w:line="240" w:lineRule="auto"/>
    </w:pPr>
    <w:rPr>
      <w:rFonts w:ascii="Arial" w:hAnsi="Arial" w:cs="Arial"/>
      <w:i/>
      <w:sz w:val="18"/>
      <w:szCs w:val="18"/>
    </w:rPr>
  </w:style>
  <w:style w:type="paragraph" w:customStyle="1" w:styleId="STATLegende">
    <w:name w:val="STAT Legende"/>
    <w:basedOn w:val="STATTitre2"/>
    <w:qFormat/>
    <w:rsid w:val="00A96323"/>
    <w:pPr>
      <w:spacing w:before="60" w:after="20"/>
    </w:pPr>
    <w:rPr>
      <w:rFonts w:ascii="Arial" w:hAnsi="Arial" w:cs="Arial"/>
      <w:b w:val="0"/>
      <w:sz w:val="12"/>
      <w:szCs w:val="12"/>
    </w:rPr>
  </w:style>
  <w:style w:type="paragraph" w:customStyle="1" w:styleId="STATTitre2centr">
    <w:name w:val="STAT Titre 2 centré"/>
    <w:basedOn w:val="STATTitre2"/>
    <w:qFormat/>
    <w:rsid w:val="006E625C"/>
    <w:pPr>
      <w:spacing w:before="0" w:after="600"/>
      <w:jc w:val="center"/>
    </w:pPr>
  </w:style>
  <w:style w:type="paragraph" w:customStyle="1" w:styleId="STATTitreGraph">
    <w:name w:val="STAT Titre Graph"/>
    <w:qFormat/>
    <w:rsid w:val="00FF0502"/>
    <w:pPr>
      <w:ind w:left="113" w:right="113"/>
    </w:pPr>
    <w:rPr>
      <w:rFonts w:ascii="Arial" w:hAnsi="Arial" w:cs="Arial"/>
      <w:b/>
      <w:bCs/>
      <w:color w:val="547889"/>
      <w:w w:val="80"/>
      <w:sz w:val="22"/>
      <w:szCs w:val="18"/>
    </w:rPr>
  </w:style>
  <w:style w:type="paragraph" w:customStyle="1" w:styleId="STATSTITRE">
    <w:name w:val="STAT S/TITRE"/>
    <w:basedOn w:val="STATTitre2"/>
    <w:qFormat/>
    <w:rsid w:val="00263430"/>
    <w:pPr>
      <w:tabs>
        <w:tab w:val="right" w:pos="9639"/>
      </w:tabs>
    </w:pPr>
  </w:style>
  <w:style w:type="character" w:styleId="Lienhypertexte">
    <w:name w:val="Hyperlink"/>
    <w:basedOn w:val="Policepardfaut"/>
    <w:uiPriority w:val="99"/>
    <w:unhideWhenUsed/>
    <w:rsid w:val="00AD1599"/>
    <w:rPr>
      <w:color w:val="0000FF" w:themeColor="hyperlink"/>
      <w:u w:val="single"/>
    </w:rPr>
  </w:style>
  <w:style w:type="character" w:styleId="Lienhypertextesuivivisit">
    <w:name w:val="FollowedHyperlink"/>
    <w:basedOn w:val="Policepardfaut"/>
    <w:unhideWhenUsed/>
    <w:rsid w:val="00AD1599"/>
    <w:rPr>
      <w:color w:val="800080" w:themeColor="followedHyperlink"/>
      <w:u w:val="single"/>
    </w:rPr>
  </w:style>
  <w:style w:type="numbering" w:customStyle="1" w:styleId="Pucegale">
    <w:name w:val="Puce égale"/>
    <w:uiPriority w:val="99"/>
    <w:rsid w:val="00645DDB"/>
    <w:pPr>
      <w:numPr>
        <w:numId w:val="2"/>
      </w:numPr>
    </w:pPr>
  </w:style>
  <w:style w:type="numbering" w:customStyle="1" w:styleId="PuceBaisse">
    <w:name w:val="Puce Baisse"/>
    <w:uiPriority w:val="99"/>
    <w:rsid w:val="00645DDB"/>
    <w:pPr>
      <w:numPr>
        <w:numId w:val="3"/>
      </w:numPr>
    </w:pPr>
  </w:style>
  <w:style w:type="paragraph" w:customStyle="1" w:styleId="Paragraphestandard">
    <w:name w:val="[Paragraphe standard]"/>
    <w:basedOn w:val="Normal"/>
    <w:uiPriority w:val="99"/>
    <w:rsid w:val="00EF7A72"/>
    <w:pPr>
      <w:autoSpaceDE w:val="0"/>
      <w:autoSpaceDN w:val="0"/>
      <w:adjustRightInd w:val="0"/>
      <w:spacing w:line="288" w:lineRule="auto"/>
      <w:textAlignment w:val="center"/>
    </w:pPr>
    <w:rPr>
      <w:color w:val="000000"/>
      <w:sz w:val="24"/>
      <w:szCs w:val="24"/>
    </w:rPr>
  </w:style>
  <w:style w:type="character" w:customStyle="1" w:styleId="PieddepageCar">
    <w:name w:val="Pied de page Car"/>
    <w:basedOn w:val="Policepardfaut"/>
    <w:link w:val="Pieddepage"/>
    <w:semiHidden/>
    <w:rsid w:val="009338D4"/>
  </w:style>
  <w:style w:type="character" w:customStyle="1" w:styleId="CorpsdetexteCar">
    <w:name w:val="Corps de texte Car"/>
    <w:basedOn w:val="Policepardfaut"/>
    <w:link w:val="Corpsdetexte"/>
    <w:semiHidden/>
    <w:rsid w:val="007E2D26"/>
    <w:rPr>
      <w:sz w:val="22"/>
      <w:szCs w:val="22"/>
    </w:rPr>
  </w:style>
  <w:style w:type="paragraph" w:customStyle="1" w:styleId="STATChapeau">
    <w:name w:val="STAT Chapeau"/>
    <w:qFormat/>
    <w:rsid w:val="00357916"/>
    <w:pPr>
      <w:spacing w:before="120" w:after="100" w:afterAutospacing="1"/>
      <w:ind w:left="57"/>
    </w:pPr>
    <w:rPr>
      <w:rFonts w:ascii="Arial" w:hAnsi="Arial" w:cs="Arial"/>
      <w:b/>
      <w:bCs/>
      <w:w w:val="95"/>
      <w:sz w:val="24"/>
      <w:szCs w:val="24"/>
    </w:rPr>
  </w:style>
  <w:style w:type="paragraph" w:customStyle="1" w:styleId="STATlienSommaire">
    <w:name w:val="STAT lien Sommaire"/>
    <w:qFormat/>
    <w:rsid w:val="00E001FC"/>
    <w:pPr>
      <w:spacing w:before="120" w:after="100" w:afterAutospacing="1"/>
      <w:ind w:left="57"/>
    </w:pPr>
    <w:rPr>
      <w:rFonts w:ascii="Arial" w:hAnsi="Arial" w:cs="Arial"/>
      <w:b/>
      <w:bCs/>
      <w:color w:val="547889"/>
      <w:w w:val="90"/>
      <w:sz w:val="16"/>
      <w:szCs w:val="16"/>
      <w:u w:val="single"/>
    </w:rPr>
  </w:style>
  <w:style w:type="paragraph" w:customStyle="1" w:styleId="STATLienTexte">
    <w:name w:val="STAT Lien Texte"/>
    <w:basedOn w:val="STATlienSommaire"/>
    <w:qFormat/>
    <w:rsid w:val="00E001FC"/>
    <w:rPr>
      <w:w w:val="100"/>
    </w:rPr>
  </w:style>
  <w:style w:type="paragraph" w:customStyle="1" w:styleId="Style1">
    <w:name w:val="Style1"/>
    <w:qFormat/>
    <w:rsid w:val="00093554"/>
    <w:rPr>
      <w:rFonts w:ascii="Arial" w:hAnsi="Arial" w:cs="Arial"/>
      <w:bCs/>
      <w:color w:val="547889"/>
      <w:sz w:val="22"/>
      <w:szCs w:val="18"/>
    </w:rPr>
  </w:style>
  <w:style w:type="paragraph" w:customStyle="1" w:styleId="STATSous-TitreGraph">
    <w:name w:val="STAT Sous-Titre Graph"/>
    <w:qFormat/>
    <w:rsid w:val="00FF0502"/>
    <w:rPr>
      <w:rFonts w:ascii="Arial" w:hAnsi="Arial" w:cs="Arial"/>
      <w:bCs/>
      <w:color w:val="547889"/>
      <w:sz w:val="16"/>
      <w:szCs w:val="16"/>
    </w:rPr>
  </w:style>
  <w:style w:type="paragraph" w:customStyle="1" w:styleId="STATSous-TitreGraphCentr">
    <w:name w:val="STAT Sous-Titre Graph Centré"/>
    <w:qFormat/>
    <w:rsid w:val="00093554"/>
    <w:pPr>
      <w:jc w:val="center"/>
    </w:pPr>
    <w:rPr>
      <w:rFonts w:ascii="Arial" w:hAnsi="Arial" w:cs="Arial"/>
      <w:bCs/>
      <w:color w:val="547889"/>
      <w:sz w:val="22"/>
      <w:szCs w:val="18"/>
    </w:rPr>
  </w:style>
  <w:style w:type="paragraph" w:customStyle="1" w:styleId="STATtexteCourantGras">
    <w:name w:val="STAT  texte Courant Gras"/>
    <w:basedOn w:val="STATTexteCourant"/>
    <w:qFormat/>
    <w:rsid w:val="00FF0502"/>
    <w:rPr>
      <w:b/>
    </w:rPr>
  </w:style>
  <w:style w:type="paragraph" w:customStyle="1" w:styleId="STATTitreCartoucheChapitre">
    <w:name w:val="STAT Titre Cartouche Chapitre"/>
    <w:qFormat/>
    <w:rsid w:val="00FF0502"/>
    <w:pPr>
      <w:ind w:left="57"/>
    </w:pPr>
    <w:rPr>
      <w:rFonts w:ascii="Arial" w:hAnsi="Arial" w:cs="Arial"/>
      <w:b/>
      <w:bCs/>
      <w:color w:val="FFFFFF" w:themeColor="background1"/>
      <w:sz w:val="24"/>
      <w:szCs w:val="24"/>
    </w:rPr>
  </w:style>
  <w:style w:type="character" w:customStyle="1" w:styleId="Titre4Car">
    <w:name w:val="Titre 4 Car"/>
    <w:basedOn w:val="Policepardfaut"/>
    <w:link w:val="Titre4"/>
    <w:uiPriority w:val="9"/>
    <w:semiHidden/>
    <w:rsid w:val="00CE3E76"/>
    <w:rPr>
      <w:rFonts w:asciiTheme="majorHAnsi" w:eastAsiaTheme="majorEastAsia" w:hAnsiTheme="majorHAnsi" w:cstheme="majorBidi"/>
      <w:b/>
      <w:bCs/>
      <w:i/>
      <w:iCs/>
      <w:color w:val="4F81BD" w:themeColor="accent1"/>
    </w:rPr>
  </w:style>
  <w:style w:type="character" w:customStyle="1" w:styleId="Titre9Car">
    <w:name w:val="Titre 9 Car"/>
    <w:basedOn w:val="Policepardfaut"/>
    <w:link w:val="Titre9"/>
    <w:uiPriority w:val="9"/>
    <w:semiHidden/>
    <w:rsid w:val="00CE3E76"/>
    <w:rPr>
      <w:rFonts w:asciiTheme="majorHAnsi" w:eastAsiaTheme="majorEastAsia" w:hAnsiTheme="majorHAnsi" w:cstheme="majorBidi"/>
      <w:i/>
      <w:iCs/>
      <w:color w:val="404040" w:themeColor="text1" w:themeTint="BF"/>
    </w:rPr>
  </w:style>
  <w:style w:type="character" w:customStyle="1" w:styleId="Titre5Car">
    <w:name w:val="Titre 5 Car"/>
    <w:basedOn w:val="Policepardfaut"/>
    <w:link w:val="Titre5"/>
    <w:rsid w:val="00CE3E76"/>
    <w:rPr>
      <w:b/>
      <w:bCs/>
      <w:i/>
      <w:iCs/>
      <w:sz w:val="22"/>
      <w:szCs w:val="22"/>
    </w:rPr>
  </w:style>
  <w:style w:type="character" w:customStyle="1" w:styleId="Titre6Car">
    <w:name w:val="Titre 6 Car"/>
    <w:basedOn w:val="Policepardfaut"/>
    <w:link w:val="Titre6"/>
    <w:rsid w:val="00CE3E76"/>
    <w:rPr>
      <w:rFonts w:ascii="Arial Black" w:hAnsi="Arial Black"/>
      <w:i/>
      <w:iCs/>
      <w:sz w:val="32"/>
      <w:szCs w:val="32"/>
    </w:rPr>
  </w:style>
  <w:style w:type="character" w:customStyle="1" w:styleId="Titre7Car">
    <w:name w:val="Titre 7 Car"/>
    <w:basedOn w:val="Policepardfaut"/>
    <w:link w:val="Titre7"/>
    <w:rsid w:val="00CE3E76"/>
    <w:rPr>
      <w:rFonts w:ascii="Arial" w:hAnsi="Arial" w:cs="Arial"/>
      <w:b/>
      <w:bCs/>
      <w:spacing w:val="-2"/>
      <w:sz w:val="16"/>
      <w:szCs w:val="16"/>
      <w:lang w:val="en-US"/>
    </w:rPr>
  </w:style>
  <w:style w:type="character" w:customStyle="1" w:styleId="Titre8Car">
    <w:name w:val="Titre 8 Car"/>
    <w:basedOn w:val="Policepardfaut"/>
    <w:link w:val="Titre8"/>
    <w:rsid w:val="00CE3E76"/>
    <w:rPr>
      <w:rFonts w:ascii="Arial" w:hAnsi="Arial" w:cs="Arial"/>
      <w:b/>
      <w:bCs/>
      <w:spacing w:val="-4"/>
      <w:sz w:val="18"/>
      <w:szCs w:val="18"/>
    </w:rPr>
  </w:style>
  <w:style w:type="paragraph" w:styleId="Retraitcorpsdetexte">
    <w:name w:val="Body Text Indent"/>
    <w:basedOn w:val="Normal"/>
    <w:link w:val="RetraitcorpsdetexteCar"/>
    <w:rsid w:val="00CE3E76"/>
    <w:pPr>
      <w:tabs>
        <w:tab w:val="left" w:pos="2410"/>
      </w:tabs>
      <w:spacing w:before="40" w:after="40"/>
      <w:ind w:left="1134"/>
    </w:pPr>
    <w:rPr>
      <w:rFonts w:ascii="Arial" w:hAnsi="Arial" w:cs="Arial"/>
      <w:sz w:val="18"/>
      <w:szCs w:val="18"/>
    </w:rPr>
  </w:style>
  <w:style w:type="character" w:customStyle="1" w:styleId="RetraitcorpsdetexteCar">
    <w:name w:val="Retrait corps de texte Car"/>
    <w:basedOn w:val="Policepardfaut"/>
    <w:link w:val="Retraitcorpsdetexte"/>
    <w:rsid w:val="00CE3E76"/>
    <w:rPr>
      <w:rFonts w:ascii="Arial" w:hAnsi="Arial" w:cs="Arial"/>
      <w:sz w:val="18"/>
      <w:szCs w:val="18"/>
    </w:rPr>
  </w:style>
  <w:style w:type="paragraph" w:customStyle="1" w:styleId="titre1fiche">
    <w:name w:val="titre1 fiche"/>
    <w:basedOn w:val="Titre3"/>
    <w:rsid w:val="00CE3E76"/>
    <w:pPr>
      <w:tabs>
        <w:tab w:val="left" w:pos="737"/>
      </w:tabs>
      <w:spacing w:before="240" w:beforeAutospacing="0" w:after="240" w:line="240" w:lineRule="auto"/>
      <w:ind w:left="284" w:hanging="284"/>
    </w:pPr>
    <w:rPr>
      <w:rFonts w:ascii="Arial" w:hAnsi="Arial" w:cs="Arial"/>
      <w:b/>
      <w:bCs/>
      <w:iCs w:val="0"/>
      <w:color w:val="auto"/>
      <w:sz w:val="24"/>
      <w:szCs w:val="24"/>
    </w:rPr>
  </w:style>
  <w:style w:type="paragraph" w:customStyle="1" w:styleId="Style2">
    <w:name w:val="Style 2"/>
    <w:basedOn w:val="Normal"/>
    <w:rsid w:val="00CE3E76"/>
    <w:pPr>
      <w:widowControl w:val="0"/>
    </w:pPr>
    <w:rPr>
      <w:snapToGrid w:val="0"/>
      <w:sz w:val="24"/>
      <w:szCs w:val="24"/>
    </w:rPr>
  </w:style>
  <w:style w:type="paragraph" w:customStyle="1" w:styleId="Style10">
    <w:name w:val="Style 1"/>
    <w:basedOn w:val="Normal"/>
    <w:rsid w:val="00CE3E76"/>
    <w:pPr>
      <w:widowControl w:val="0"/>
      <w:spacing w:line="324" w:lineRule="atLeast"/>
      <w:jc w:val="center"/>
    </w:pPr>
    <w:rPr>
      <w:snapToGrid w:val="0"/>
      <w:sz w:val="24"/>
      <w:szCs w:val="24"/>
    </w:rPr>
  </w:style>
  <w:style w:type="paragraph" w:customStyle="1" w:styleId="Style3">
    <w:name w:val="Style 3"/>
    <w:basedOn w:val="Normal"/>
    <w:rsid w:val="00CE3E76"/>
    <w:pPr>
      <w:widowControl w:val="0"/>
      <w:spacing w:before="108" w:after="180" w:line="216" w:lineRule="atLeast"/>
      <w:ind w:left="144"/>
    </w:pPr>
    <w:rPr>
      <w:snapToGrid w:val="0"/>
      <w:sz w:val="24"/>
      <w:szCs w:val="24"/>
    </w:rPr>
  </w:style>
  <w:style w:type="paragraph" w:styleId="Retraitcorpsdetexte2">
    <w:name w:val="Body Text Indent 2"/>
    <w:basedOn w:val="Normal"/>
    <w:link w:val="Retraitcorpsdetexte2Car"/>
    <w:rsid w:val="00CE3E76"/>
    <w:pPr>
      <w:ind w:left="57"/>
    </w:pPr>
    <w:rPr>
      <w:rFonts w:ascii="Arial" w:hAnsi="Arial" w:cs="Arial"/>
      <w:spacing w:val="-4"/>
      <w:sz w:val="15"/>
      <w:szCs w:val="15"/>
    </w:rPr>
  </w:style>
  <w:style w:type="character" w:customStyle="1" w:styleId="Retraitcorpsdetexte2Car">
    <w:name w:val="Retrait corps de texte 2 Car"/>
    <w:basedOn w:val="Policepardfaut"/>
    <w:link w:val="Retraitcorpsdetexte2"/>
    <w:rsid w:val="00CE3E76"/>
    <w:rPr>
      <w:rFonts w:ascii="Arial" w:hAnsi="Arial" w:cs="Arial"/>
      <w:spacing w:val="-4"/>
      <w:sz w:val="15"/>
      <w:szCs w:val="15"/>
    </w:rPr>
  </w:style>
  <w:style w:type="paragraph" w:customStyle="1" w:styleId="ref">
    <w:name w:val="ref."/>
    <w:basedOn w:val="Normal"/>
    <w:rsid w:val="00CE3E76"/>
    <w:rPr>
      <w:rFonts w:ascii="Univers" w:hAnsi="Univers"/>
      <w:sz w:val="14"/>
    </w:rPr>
  </w:style>
  <w:style w:type="paragraph" w:styleId="Lgende">
    <w:name w:val="caption"/>
    <w:basedOn w:val="Normal"/>
    <w:next w:val="Normal"/>
    <w:uiPriority w:val="35"/>
    <w:qFormat/>
    <w:rsid w:val="00CE3E76"/>
    <w:pPr>
      <w:jc w:val="right"/>
    </w:pPr>
    <w:rPr>
      <w:rFonts w:ascii="Courier" w:hAnsi="Courier"/>
      <w:i/>
      <w:sz w:val="16"/>
    </w:rPr>
  </w:style>
  <w:style w:type="table" w:customStyle="1" w:styleId="Grilledutableau1">
    <w:name w:val="Grille du tableau1"/>
    <w:basedOn w:val="TableauNormal"/>
    <w:next w:val="Grilledutableau"/>
    <w:rsid w:val="00CE3E76"/>
    <w:pPr>
      <w:ind w:firstLine="680"/>
      <w:jc w:val="both"/>
    </w:pPr>
    <w:rPr>
      <w:rFonts w:ascii="Courier" w:hAnsi="Courie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Policepardfaut"/>
    <w:rsid w:val="00CE3E76"/>
  </w:style>
  <w:style w:type="table" w:styleId="Grilledetableau3">
    <w:name w:val="Table Grid 3"/>
    <w:basedOn w:val="TableauNormal"/>
    <w:rsid w:val="00CE3E7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1">
    <w:name w:val="Table Grid 1"/>
    <w:basedOn w:val="TableauNormal"/>
    <w:rsid w:val="00CE3E7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
    <w:name w:val="Default"/>
    <w:rsid w:val="00586D92"/>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030A25"/>
    <w:pPr>
      <w:spacing w:before="100" w:beforeAutospacing="1" w:after="100" w:afterAutospacing="1"/>
    </w:pPr>
    <w:rPr>
      <w:sz w:val="24"/>
      <w:szCs w:val="24"/>
    </w:rPr>
  </w:style>
  <w:style w:type="paragraph" w:styleId="Sansinterligne">
    <w:name w:val="No Spacing"/>
    <w:uiPriority w:val="1"/>
    <w:qFormat/>
    <w:rsid w:val="00030A2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779816">
      <w:bodyDiv w:val="1"/>
      <w:marLeft w:val="0"/>
      <w:marRight w:val="0"/>
      <w:marTop w:val="0"/>
      <w:marBottom w:val="0"/>
      <w:divBdr>
        <w:top w:val="none" w:sz="0" w:space="0" w:color="auto"/>
        <w:left w:val="none" w:sz="0" w:space="0" w:color="auto"/>
        <w:bottom w:val="none" w:sz="0" w:space="0" w:color="auto"/>
        <w:right w:val="none" w:sz="0" w:space="0" w:color="auto"/>
      </w:divBdr>
    </w:div>
    <w:div w:id="792674138">
      <w:bodyDiv w:val="1"/>
      <w:marLeft w:val="0"/>
      <w:marRight w:val="0"/>
      <w:marTop w:val="0"/>
      <w:marBottom w:val="0"/>
      <w:divBdr>
        <w:top w:val="none" w:sz="0" w:space="0" w:color="auto"/>
        <w:left w:val="none" w:sz="0" w:space="0" w:color="auto"/>
        <w:bottom w:val="none" w:sz="0" w:space="0" w:color="auto"/>
        <w:right w:val="none" w:sz="0" w:space="0" w:color="auto"/>
      </w:divBdr>
    </w:div>
    <w:div w:id="941107605">
      <w:bodyDiv w:val="1"/>
      <w:marLeft w:val="0"/>
      <w:marRight w:val="0"/>
      <w:marTop w:val="0"/>
      <w:marBottom w:val="0"/>
      <w:divBdr>
        <w:top w:val="none" w:sz="0" w:space="0" w:color="auto"/>
        <w:left w:val="none" w:sz="0" w:space="0" w:color="auto"/>
        <w:bottom w:val="none" w:sz="0" w:space="0" w:color="auto"/>
        <w:right w:val="none" w:sz="0" w:space="0" w:color="auto"/>
      </w:divBdr>
    </w:div>
    <w:div w:id="99006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c.europa.eu/eurostat/documents/3859598/5925793/KS-02-13-269-FR.PDF.pdf/cfd0cb42-e51a-47ce-85da-1fbf1de5c86c?t=1414782428000" TargetMode="Externa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webstat.banque-france.fr/ws_wsfr/downloadFile.do?id=51050" TargetMode="External"/><Relationship Id="rId3" Type="http://schemas.openxmlformats.org/officeDocument/2006/relationships/hyperlink" Target="https://www.banque-france.fr/statistiques/epargne-et-comptes-nationaux-financiers/comptes-nationaux-financiers/comptes-financiers-et-comptes-de-patrimoine-financiers/comptes-nationaux-financiers" TargetMode="External"/><Relationship Id="rId7" Type="http://schemas.openxmlformats.org/officeDocument/2006/relationships/hyperlink" Target="https://webstat.banque-france.fr/fr/" TargetMode="External"/><Relationship Id="rId2" Type="http://schemas.openxmlformats.org/officeDocument/2006/relationships/hyperlink" Target="https://webstat.banque-france.fr/ws_wsfr/downloadFile.do?id=51051" TargetMode="External"/><Relationship Id="rId1" Type="http://schemas.openxmlformats.org/officeDocument/2006/relationships/hyperlink" Target="https://webstat.banque-france.fr/fr/" TargetMode="External"/><Relationship Id="rId6" Type="http://schemas.openxmlformats.org/officeDocument/2006/relationships/hyperlink" Target="https://www.banque-france.fr/sites/default/files/media/2021/03/16/methode_si_endettementanf_maj_2020_v2.pdf" TargetMode="External"/><Relationship Id="rId5" Type="http://schemas.openxmlformats.org/officeDocument/2006/relationships/hyperlink" Target="https://www.banque-france.fr/statistiques/credit/endettement-et-titres/taux-dendettement-des-agents-non-financiers-comparaisons-internationales" TargetMode="External"/><Relationship Id="rId4" Type="http://schemas.openxmlformats.org/officeDocument/2006/relationships/hyperlink" Target="https://www.banque-france.fr/statistiques/epargne-et-comptes-nationaux-financiers/comptes-nationaux-financiers/comptes-financiers-et-comptes-de-patrimoine-financiers/comptes-nationaux-financier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5D5DE-F8D1-4083-8320-A0F814F93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6493</Words>
  <Characters>37458</Characters>
  <Application>Microsoft Office Word</Application>
  <DocSecurity>0</DocSecurity>
  <Lines>312</Lines>
  <Paragraphs>87</Paragraphs>
  <ScaleCrop>false</ScaleCrop>
  <HeadingPairs>
    <vt:vector size="2" baseType="variant">
      <vt:variant>
        <vt:lpstr>Titre</vt:lpstr>
      </vt:variant>
      <vt:variant>
        <vt:i4>1</vt:i4>
      </vt:variant>
    </vt:vector>
  </HeadingPairs>
  <TitlesOfParts>
    <vt:vector size="1" baseType="lpstr">
      <vt:lpstr>Stat Info</vt:lpstr>
    </vt:vector>
  </TitlesOfParts>
  <Company>Banque de France</Company>
  <LinksUpToDate>false</LinksUpToDate>
  <CharactersWithSpaces>43864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 Info</dc:title>
  <dc:creator>Marina RANDRIAMISAINA</dc:creator>
  <cp:lastModifiedBy>FONTAINE Gabriel (DGSEI DSMF)</cp:lastModifiedBy>
  <cp:revision>2</cp:revision>
  <cp:lastPrinted>2018-10-31T10:25:00Z</cp:lastPrinted>
  <dcterms:created xsi:type="dcterms:W3CDTF">2023-10-20T15:30:00Z</dcterms:created>
  <dcterms:modified xsi:type="dcterms:W3CDTF">2023-10-20T15:30:00Z</dcterms:modified>
</cp:coreProperties>
</file>